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C4700" w14:textId="6745B545" w:rsidR="00D730B3" w:rsidRPr="00D36C0C" w:rsidRDefault="00213CFE" w:rsidP="00213CFE">
      <w:pPr>
        <w:jc w:val="both"/>
        <w:rPr>
          <w:rFonts w:ascii="Charter BT" w:hAnsi="Charter BT" w:hint="eastAsia"/>
          <w:b/>
          <w:bCs/>
        </w:rPr>
      </w:pPr>
      <w:r w:rsidRPr="00D36C0C">
        <w:rPr>
          <w:rFonts w:ascii="Charter BT" w:hAnsi="Charter BT"/>
          <w:b/>
          <w:bCs/>
        </w:rPr>
        <w:t xml:space="preserve">Referee </w:t>
      </w:r>
      <w:r w:rsidR="00D730B3" w:rsidRPr="00D36C0C">
        <w:rPr>
          <w:rFonts w:ascii="Charter BT" w:hAnsi="Charter BT"/>
          <w:b/>
          <w:bCs/>
        </w:rPr>
        <w:t>1:</w:t>
      </w:r>
    </w:p>
    <w:p w14:paraId="25C28CEF" w14:textId="48AABE03" w:rsidR="00B466FD" w:rsidRPr="00D36C0C" w:rsidRDefault="00213CFE" w:rsidP="00213CFE">
      <w:pPr>
        <w:jc w:val="both"/>
        <w:rPr>
          <w:rFonts w:ascii="Charter BT" w:hAnsi="Charter BT" w:hint="eastAsia"/>
        </w:rPr>
      </w:pPr>
      <w:r w:rsidRPr="00D36C0C">
        <w:rPr>
          <w:rFonts w:ascii="Charter BT" w:hAnsi="Charter BT"/>
        </w:rPr>
        <w:br/>
        <w:t>The revised manuscript has been improved, however, by an *insufficient* degree. Many of the core issues raised in the previous comments, echoed by another reviewer, remain unsolved. There is a lack of substantial changes</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reflections that help clarify the gaps, questions,</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strengthen the methods; instead, in many cases, extra information was arbitrarily added – with a lack of engagement with the previous text, resulting in a more convoluted</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challenging read. Additionally, typos in the text</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maps are identifiable</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must be eliminated in any further submissions.</w:t>
      </w:r>
      <w:r w:rsidR="00507912" w:rsidRPr="00D36C0C">
        <w:rPr>
          <w:rFonts w:ascii="Charter BT" w:hAnsi="Charter BT"/>
        </w:rPr>
        <w:t xml:space="preserve"> </w:t>
      </w:r>
      <w:r w:rsidRPr="00D36C0C">
        <w:rPr>
          <w:rFonts w:ascii="Charter BT" w:hAnsi="Charter BT"/>
        </w:rPr>
        <w:t>My recommendation for the manuscript, unfortunately, is still ‘reject</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resubmit</w:t>
      </w:r>
      <w:r w:rsidRPr="00D36C0C">
        <w:rPr>
          <w:rFonts w:ascii="Charter BT" w:hAnsi="Charter BT" w:cs="Charter"/>
        </w:rPr>
        <w:t>’</w:t>
      </w:r>
      <w:r w:rsidRPr="00D36C0C">
        <w:rPr>
          <w:rFonts w:ascii="Charter BT" w:hAnsi="Charter BT"/>
        </w:rPr>
        <w:t>. While I appreciate the lengthy responses prepared by the authors, greater effort is needed in revising the actual manuscript itself. The paper still holds a promising general research agenda</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shows adequate capacities for quantitative</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 xml:space="preserve">spatial/morphological analysis, yet the manuscript in </w:t>
      </w:r>
      <w:r w:rsidR="00A10571" w:rsidRPr="00D36C0C">
        <w:rPr>
          <w:rFonts w:ascii="Charter BT" w:hAnsi="Charter BT"/>
        </w:rPr>
        <w:t>its</w:t>
      </w:r>
      <w:r w:rsidRPr="00D36C0C">
        <w:rPr>
          <w:rFonts w:ascii="Charter BT" w:hAnsi="Charter BT"/>
        </w:rPr>
        <w:t xml:space="preserve"> current form failed to fully realise this potential.</w:t>
      </w:r>
    </w:p>
    <w:p w14:paraId="6D65F95F" w14:textId="77777777" w:rsidR="00B466FD" w:rsidRPr="00D36C0C" w:rsidRDefault="00B466FD" w:rsidP="00213CFE">
      <w:pPr>
        <w:jc w:val="both"/>
        <w:rPr>
          <w:rFonts w:ascii="Charter BT" w:hAnsi="Charter BT" w:hint="eastAsia"/>
        </w:rPr>
      </w:pPr>
    </w:p>
    <w:p w14:paraId="04C7F263" w14:textId="3F7DF809" w:rsidR="00003341" w:rsidRPr="00D36C0C" w:rsidRDefault="00B466FD" w:rsidP="00E36C5B">
      <w:pPr>
        <w:jc w:val="both"/>
        <w:rPr>
          <w:rFonts w:ascii="Charter BT" w:hAnsi="Charter BT" w:hint="eastAsia"/>
        </w:rPr>
      </w:pPr>
      <w:r w:rsidRPr="00D36C0C">
        <w:rPr>
          <w:rFonts w:ascii="Charter BT" w:hAnsi="Charter BT"/>
          <w:b/>
          <w:bCs/>
        </w:rPr>
        <w:t>Response:</w:t>
      </w:r>
      <w:r w:rsidRPr="00D36C0C">
        <w:rPr>
          <w:rFonts w:ascii="Charter BT" w:hAnsi="Charter BT"/>
        </w:rPr>
        <w:t xml:space="preserve"> Thanks for your </w:t>
      </w:r>
      <w:r w:rsidR="00FD6F93" w:rsidRPr="00D36C0C">
        <w:rPr>
          <w:rFonts w:ascii="Charter BT" w:hAnsi="Charter BT"/>
        </w:rPr>
        <w:t xml:space="preserve">time and </w:t>
      </w:r>
      <w:r w:rsidRPr="00D36C0C">
        <w:rPr>
          <w:rFonts w:ascii="Charter BT" w:hAnsi="Charter BT"/>
        </w:rPr>
        <w:t xml:space="preserve">constructive comments. </w:t>
      </w:r>
      <w:r w:rsidR="001721C2" w:rsidRPr="00D36C0C">
        <w:rPr>
          <w:rFonts w:ascii="Charter BT" w:hAnsi="Charter BT"/>
        </w:rPr>
        <w:t>We appreciate your recognition and have</w:t>
      </w:r>
      <w:r w:rsidR="001721C2" w:rsidRPr="00D36C0C">
        <w:rPr>
          <w:rFonts w:ascii="Charter BT" w:hAnsi="Charter BT"/>
          <w:kern w:val="0"/>
          <w14:ligatures w14:val="none"/>
        </w:rPr>
        <w:t xml:space="preserve"> clarified that this study primarily concerns the development and application of quantitative measures, with a methodological focus.</w:t>
      </w:r>
      <w:r w:rsidR="006535B3" w:rsidRPr="00D36C0C">
        <w:rPr>
          <w:rFonts w:ascii="Charter BT" w:hAnsi="Charter BT"/>
        </w:rPr>
        <w:t xml:space="preserve"> </w:t>
      </w:r>
      <w:r w:rsidR="000D565D" w:rsidRPr="00D36C0C">
        <w:rPr>
          <w:rFonts w:ascii="Charter BT" w:hAnsi="Charter BT"/>
        </w:rPr>
        <w:t>W</w:t>
      </w:r>
      <w:r w:rsidR="006535B3" w:rsidRPr="00D36C0C">
        <w:rPr>
          <w:rFonts w:ascii="Charter BT" w:hAnsi="Charter BT"/>
        </w:rPr>
        <w:t xml:space="preserve">e adopt a pragmatic approach, </w:t>
      </w:r>
      <w:r w:rsidR="008F7A35" w:rsidRPr="00D36C0C">
        <w:rPr>
          <w:rFonts w:ascii="Charter BT" w:hAnsi="Charter BT"/>
        </w:rPr>
        <w:t>focus</w:t>
      </w:r>
      <w:r w:rsidR="006535B3" w:rsidRPr="00D36C0C">
        <w:rPr>
          <w:rFonts w:ascii="Charter BT" w:hAnsi="Charter BT"/>
        </w:rPr>
        <w:t xml:space="preserve">ing on the </w:t>
      </w:r>
      <w:r w:rsidR="008F7A35" w:rsidRPr="00D36C0C">
        <w:rPr>
          <w:rFonts w:ascii="Charter BT" w:hAnsi="Charter BT"/>
        </w:rPr>
        <w:t xml:space="preserve">operationalization </w:t>
      </w:r>
      <w:r w:rsidR="006535B3" w:rsidRPr="00D36C0C">
        <w:rPr>
          <w:rFonts w:ascii="Charter BT" w:hAnsi="Charter BT"/>
        </w:rPr>
        <w:t xml:space="preserve">of </w:t>
      </w:r>
      <w:r w:rsidR="00EE1215" w:rsidRPr="00D36C0C">
        <w:rPr>
          <w:rFonts w:ascii="Charter BT" w:hAnsi="Charter BT"/>
        </w:rPr>
        <w:t>measu</w:t>
      </w:r>
      <w:r w:rsidR="00294A05" w:rsidRPr="00D36C0C">
        <w:rPr>
          <w:rFonts w:ascii="Charter BT" w:hAnsi="Charter BT"/>
        </w:rPr>
        <w:t>re</w:t>
      </w:r>
      <w:r w:rsidR="00EE1215" w:rsidRPr="00D36C0C">
        <w:rPr>
          <w:rFonts w:ascii="Charter BT" w:hAnsi="Charter BT"/>
        </w:rPr>
        <w:t xml:space="preserve">ment </w:t>
      </w:r>
      <w:r w:rsidR="006535B3" w:rsidRPr="00D36C0C">
        <w:rPr>
          <w:rFonts w:ascii="Charter BT" w:hAnsi="Charter BT"/>
        </w:rPr>
        <w:t xml:space="preserve">concepts for urban science and </w:t>
      </w:r>
      <w:r w:rsidR="00294A05" w:rsidRPr="00D36C0C">
        <w:rPr>
          <w:rFonts w:ascii="Charter BT" w:hAnsi="Charter BT"/>
        </w:rPr>
        <w:t>spatial</w:t>
      </w:r>
      <w:r w:rsidR="006535B3" w:rsidRPr="00D36C0C">
        <w:rPr>
          <w:rFonts w:ascii="Charter BT" w:hAnsi="Charter BT"/>
        </w:rPr>
        <w:t xml:space="preserve"> analysis</w:t>
      </w:r>
      <w:r w:rsidR="00050D39" w:rsidRPr="00D36C0C">
        <w:rPr>
          <w:rFonts w:ascii="Charter BT" w:hAnsi="Charter BT"/>
        </w:rPr>
        <w:t xml:space="preserve"> </w:t>
      </w:r>
      <w:r w:rsidR="008F7A35" w:rsidRPr="00D36C0C">
        <w:rPr>
          <w:rFonts w:ascii="Charter BT" w:hAnsi="Charter BT"/>
        </w:rPr>
        <w:t>using</w:t>
      </w:r>
      <w:r w:rsidR="00050D39" w:rsidRPr="00D36C0C">
        <w:rPr>
          <w:rFonts w:ascii="Charter BT" w:hAnsi="Charter BT"/>
        </w:rPr>
        <w:t xml:space="preserve"> open-access data</w:t>
      </w:r>
      <w:r w:rsidR="006535B3" w:rsidRPr="00D36C0C">
        <w:rPr>
          <w:rFonts w:ascii="Charter BT" w:hAnsi="Charter BT"/>
        </w:rPr>
        <w:t xml:space="preserve">. </w:t>
      </w:r>
      <w:r w:rsidR="006F3E76" w:rsidRPr="00D36C0C">
        <w:rPr>
          <w:rFonts w:ascii="Charter BT" w:hAnsi="Charter BT"/>
          <w:kern w:val="0"/>
          <w14:ligatures w14:val="none"/>
        </w:rPr>
        <w:t xml:space="preserve"> However, we acknowledge the previous work on complexity and relational theories (e.g., assemblage thinking in walkability) (Dovey and Pakfa, 2020). Nevertheless, we aim to</w:t>
      </w:r>
      <w:r w:rsidR="006535B3" w:rsidRPr="00D36C0C">
        <w:rPr>
          <w:rFonts w:ascii="Charter BT" w:hAnsi="Charter BT"/>
        </w:rPr>
        <w:t xml:space="preserve"> provide </w:t>
      </w:r>
      <w:r w:rsidR="00D75590" w:rsidRPr="00D36C0C">
        <w:rPr>
          <w:rFonts w:ascii="Charter BT" w:hAnsi="Charter BT"/>
        </w:rPr>
        <w:t xml:space="preserve">practical </w:t>
      </w:r>
      <w:r w:rsidR="006535B3" w:rsidRPr="00D36C0C">
        <w:rPr>
          <w:rFonts w:ascii="Charter BT" w:hAnsi="Charter BT"/>
        </w:rPr>
        <w:t xml:space="preserve">tools with measurable outcomes. This necessarily involves some reductionism, as we </w:t>
      </w:r>
      <w:r w:rsidR="00453092" w:rsidRPr="00D36C0C">
        <w:rPr>
          <w:rFonts w:ascii="Charter BT" w:hAnsi="Charter BT"/>
        </w:rPr>
        <w:t>sought</w:t>
      </w:r>
      <w:r w:rsidR="006535B3" w:rsidRPr="00D36C0C">
        <w:rPr>
          <w:rFonts w:ascii="Charter BT" w:hAnsi="Charter BT"/>
        </w:rPr>
        <w:t xml:space="preserve"> to </w:t>
      </w:r>
      <w:r w:rsidR="006F3E76" w:rsidRPr="00D36C0C">
        <w:rPr>
          <w:rFonts w:ascii="Charter BT" w:hAnsi="Charter BT"/>
        </w:rPr>
        <w:t>identify</w:t>
      </w:r>
      <w:r w:rsidR="006535B3" w:rsidRPr="00D36C0C">
        <w:rPr>
          <w:rFonts w:ascii="Charter BT" w:hAnsi="Charter BT"/>
        </w:rPr>
        <w:t xml:space="preserve"> </w:t>
      </w:r>
      <w:r w:rsidR="00B927DA" w:rsidRPr="00D36C0C">
        <w:rPr>
          <w:rFonts w:ascii="Charter BT" w:hAnsi="Charter BT"/>
        </w:rPr>
        <w:t xml:space="preserve">convergent </w:t>
      </w:r>
      <w:r w:rsidR="006535B3" w:rsidRPr="00D36C0C">
        <w:rPr>
          <w:rFonts w:ascii="Charter BT" w:hAnsi="Charter BT"/>
        </w:rPr>
        <w:t xml:space="preserve">patterns that can be quantified and applied in </w:t>
      </w:r>
      <w:r w:rsidR="005F0039" w:rsidRPr="00D36C0C">
        <w:rPr>
          <w:rFonts w:ascii="Charter BT" w:hAnsi="Charter BT"/>
        </w:rPr>
        <w:t xml:space="preserve">quantitative </w:t>
      </w:r>
      <w:r w:rsidR="0028424D" w:rsidRPr="00D36C0C">
        <w:rPr>
          <w:rFonts w:ascii="Charter BT" w:hAnsi="Charter BT"/>
        </w:rPr>
        <w:t xml:space="preserve">urban </w:t>
      </w:r>
      <w:r w:rsidR="005F0039" w:rsidRPr="00D36C0C">
        <w:rPr>
          <w:rFonts w:ascii="Charter BT" w:hAnsi="Charter BT"/>
        </w:rPr>
        <w:t>analysis</w:t>
      </w:r>
      <w:r w:rsidR="006535B3" w:rsidRPr="00D36C0C">
        <w:rPr>
          <w:rFonts w:ascii="Charter BT" w:hAnsi="Charter BT"/>
        </w:rPr>
        <w:t xml:space="preserve"> contexts.</w:t>
      </w:r>
    </w:p>
    <w:p w14:paraId="037FE493" w14:textId="6B2648CD" w:rsidR="00003341" w:rsidRPr="00D36C0C" w:rsidRDefault="00AA257A" w:rsidP="00E36C5B">
      <w:pPr>
        <w:jc w:val="both"/>
        <w:rPr>
          <w:rFonts w:ascii="Charter BT" w:hAnsi="Charter BT" w:cs="Times New Roman" w:hint="eastAsia"/>
          <w:color w:val="000000" w:themeColor="text1"/>
        </w:rPr>
      </w:pPr>
      <w:r w:rsidRPr="00D36C0C">
        <w:rPr>
          <w:rFonts w:ascii="Charter BT" w:hAnsi="Charter BT"/>
        </w:rPr>
        <w:t xml:space="preserve">We agreed </w:t>
      </w:r>
      <w:r w:rsidR="002D764E" w:rsidRPr="00D36C0C">
        <w:rPr>
          <w:rFonts w:ascii="Charter BT" w:hAnsi="Charter BT"/>
        </w:rPr>
        <w:t xml:space="preserve">with the reviewer </w:t>
      </w:r>
      <w:r w:rsidRPr="00D36C0C">
        <w:rPr>
          <w:rFonts w:ascii="Charter BT" w:hAnsi="Charter BT"/>
        </w:rPr>
        <w:t xml:space="preserve">that the </w:t>
      </w:r>
      <w:r w:rsidR="00087F90" w:rsidRPr="00D36C0C">
        <w:rPr>
          <w:rFonts w:ascii="Charter BT" w:hAnsi="Charter BT"/>
        </w:rPr>
        <w:t xml:space="preserve">previous </w:t>
      </w:r>
      <w:r w:rsidRPr="00D36C0C">
        <w:rPr>
          <w:rFonts w:ascii="Charter BT" w:hAnsi="Charter BT"/>
        </w:rPr>
        <w:t xml:space="preserve">research questions and </w:t>
      </w:r>
      <w:r w:rsidR="00142478" w:rsidRPr="00D36C0C">
        <w:rPr>
          <w:rFonts w:ascii="Charter BT" w:hAnsi="Charter BT"/>
        </w:rPr>
        <w:t xml:space="preserve">the </w:t>
      </w:r>
      <w:r w:rsidRPr="00D36C0C">
        <w:rPr>
          <w:rFonts w:ascii="Charter BT" w:hAnsi="Charter BT"/>
        </w:rPr>
        <w:t xml:space="preserve">merits of this study require elaboration. In the revised manuscript, we </w:t>
      </w:r>
      <w:r w:rsidR="00693F5D" w:rsidRPr="00D36C0C">
        <w:rPr>
          <w:rFonts w:ascii="Charter BT" w:hAnsi="Charter BT"/>
        </w:rPr>
        <w:t>emphasise</w:t>
      </w:r>
      <w:r w:rsidRPr="00D36C0C">
        <w:rPr>
          <w:rFonts w:ascii="Charter BT" w:hAnsi="Charter BT"/>
        </w:rPr>
        <w:t xml:space="preserve"> that our contribution is threefold. First, we </w:t>
      </w:r>
      <w:r w:rsidR="00C919AD" w:rsidRPr="00D36C0C">
        <w:rPr>
          <w:rFonts w:ascii="Charter BT" w:hAnsi="Charter BT"/>
        </w:rPr>
        <w:t xml:space="preserve">aim </w:t>
      </w:r>
      <w:r w:rsidR="00980AAF" w:rsidRPr="00D36C0C">
        <w:rPr>
          <w:rFonts w:ascii="Charter BT" w:hAnsi="Charter BT"/>
        </w:rPr>
        <w:t xml:space="preserve">to </w:t>
      </w:r>
      <w:r w:rsidR="00CE6AB6" w:rsidRPr="00D36C0C">
        <w:rPr>
          <w:rFonts w:ascii="Charter BT" w:hAnsi="Charter BT"/>
        </w:rPr>
        <w:t>m</w:t>
      </w:r>
      <w:r w:rsidRPr="00D36C0C">
        <w:rPr>
          <w:rFonts w:ascii="Charter BT" w:hAnsi="Charter BT"/>
        </w:rPr>
        <w:t>easur</w:t>
      </w:r>
      <w:r w:rsidR="00CE6AB6" w:rsidRPr="00D36C0C">
        <w:rPr>
          <w:rFonts w:ascii="Charter BT" w:hAnsi="Charter BT"/>
        </w:rPr>
        <w:t>e</w:t>
      </w:r>
      <w:r w:rsidRPr="00D36C0C">
        <w:rPr>
          <w:rFonts w:ascii="Charter BT" w:hAnsi="Charter BT"/>
        </w:rPr>
        <w:t xml:space="preserve"> </w:t>
      </w:r>
      <w:r w:rsidR="00785E0C" w:rsidRPr="00D36C0C">
        <w:rPr>
          <w:rFonts w:ascii="Charter BT" w:hAnsi="Charter BT"/>
        </w:rPr>
        <w:t>volumetric</w:t>
      </w:r>
      <w:r w:rsidRPr="00D36C0C">
        <w:rPr>
          <w:rFonts w:ascii="Charter BT" w:hAnsi="Charter BT"/>
        </w:rPr>
        <w:t xml:space="preserve"> urban design using open-access</w:t>
      </w:r>
      <w:r w:rsidR="007A33DD" w:rsidRPr="00D36C0C">
        <w:rPr>
          <w:rFonts w:ascii="Charter BT" w:hAnsi="Charter BT"/>
        </w:rPr>
        <w:t xml:space="preserve"> and</w:t>
      </w:r>
      <w:r w:rsidRPr="00D36C0C">
        <w:rPr>
          <w:rFonts w:ascii="Charter BT" w:hAnsi="Charter BT"/>
        </w:rPr>
        <w:t xml:space="preserve"> ubiquitous datasets </w:t>
      </w:r>
      <w:r w:rsidR="003835A5" w:rsidRPr="00D36C0C">
        <w:rPr>
          <w:rFonts w:ascii="Charter BT" w:hAnsi="Charter BT"/>
        </w:rPr>
        <w:t xml:space="preserve">about </w:t>
      </w:r>
      <w:r w:rsidRPr="00D36C0C">
        <w:rPr>
          <w:rFonts w:ascii="Charter BT" w:hAnsi="Charter BT"/>
        </w:rPr>
        <w:t>comple</w:t>
      </w:r>
      <w:r w:rsidR="003835A5" w:rsidRPr="00D36C0C">
        <w:rPr>
          <w:rFonts w:ascii="Charter BT" w:hAnsi="Charter BT"/>
        </w:rPr>
        <w:t xml:space="preserve">x </w:t>
      </w:r>
      <w:r w:rsidRPr="00D36C0C">
        <w:rPr>
          <w:rFonts w:ascii="Charter BT" w:hAnsi="Charter BT"/>
        </w:rPr>
        <w:t xml:space="preserve">urban environments. </w:t>
      </w:r>
      <w:r w:rsidR="00C919AD" w:rsidRPr="00D36C0C">
        <w:rPr>
          <w:rFonts w:ascii="Charter BT" w:hAnsi="Charter BT"/>
        </w:rPr>
        <w:t xml:space="preserve">We tested and </w:t>
      </w:r>
      <w:r w:rsidRPr="00D36C0C">
        <w:rPr>
          <w:rFonts w:ascii="Charter BT" w:hAnsi="Charter BT"/>
        </w:rPr>
        <w:t>validate</w:t>
      </w:r>
      <w:r w:rsidR="007A33DD" w:rsidRPr="00D36C0C">
        <w:rPr>
          <w:rFonts w:ascii="Charter BT" w:hAnsi="Charter BT"/>
        </w:rPr>
        <w:t>d</w:t>
      </w:r>
      <w:r w:rsidRPr="00D36C0C">
        <w:rPr>
          <w:rFonts w:ascii="Charter BT" w:hAnsi="Charter BT"/>
        </w:rPr>
        <w:t xml:space="preserve"> the effectiveness of this approach. </w:t>
      </w:r>
      <w:r w:rsidR="005C50AA" w:rsidRPr="00D36C0C">
        <w:rPr>
          <w:rFonts w:ascii="Charter BT" w:hAnsi="Charter BT"/>
        </w:rPr>
        <w:t>Second,</w:t>
      </w:r>
      <w:r w:rsidR="006C3643" w:rsidRPr="00D36C0C">
        <w:rPr>
          <w:rFonts w:ascii="Charter BT" w:hAnsi="Charter BT" w:cs="Times New Roman"/>
          <w:color w:val="000000" w:themeColor="text1"/>
        </w:rPr>
        <w:t xml:space="preserve"> </w:t>
      </w:r>
      <w:r w:rsidR="005C50AA" w:rsidRPr="00D36C0C">
        <w:rPr>
          <w:rFonts w:ascii="Charter BT" w:hAnsi="Charter BT" w:cs="Times New Roman"/>
          <w:color w:val="000000" w:themeColor="text1"/>
        </w:rPr>
        <w:t>we examined how multi-level pedestrian networks</w:t>
      </w:r>
      <w:r w:rsidR="00361A9E" w:rsidRPr="00D36C0C">
        <w:rPr>
          <w:rFonts w:ascii="Charter BT" w:hAnsi="Charter BT" w:cs="Times New Roman"/>
          <w:color w:val="000000" w:themeColor="text1"/>
        </w:rPr>
        <w:t xml:space="preserve"> and metro </w:t>
      </w:r>
      <w:r w:rsidR="00AD7FB0" w:rsidRPr="00D36C0C">
        <w:rPr>
          <w:rFonts w:ascii="Charter BT" w:hAnsi="Charter BT" w:cs="Times New Roman"/>
          <w:color w:val="000000" w:themeColor="text1"/>
        </w:rPr>
        <w:t>stations</w:t>
      </w:r>
      <w:r w:rsidR="00361A9E" w:rsidRPr="00D36C0C">
        <w:rPr>
          <w:rFonts w:ascii="Charter BT" w:hAnsi="Charter BT" w:cs="Times New Roman"/>
          <w:color w:val="000000" w:themeColor="text1"/>
        </w:rPr>
        <w:t xml:space="preserve"> (MTR)</w:t>
      </w:r>
      <w:r w:rsidR="005C50AA" w:rsidRPr="00D36C0C">
        <w:rPr>
          <w:rFonts w:ascii="Charter BT" w:hAnsi="Charter BT" w:cs="Times New Roman"/>
          <w:color w:val="000000" w:themeColor="text1"/>
        </w:rPr>
        <w:t xml:space="preserve"> serve as </w:t>
      </w:r>
      <w:r w:rsidR="00787CE1" w:rsidRPr="00D36C0C">
        <w:rPr>
          <w:rFonts w:ascii="Charter BT" w:hAnsi="Charter BT" w:cs="Times New Roman"/>
          <w:color w:val="000000" w:themeColor="text1"/>
        </w:rPr>
        <w:t xml:space="preserve">the </w:t>
      </w:r>
      <w:r w:rsidR="005C50AA" w:rsidRPr="00D36C0C">
        <w:rPr>
          <w:rFonts w:ascii="Charter BT" w:hAnsi="Charter BT" w:cs="Times New Roman"/>
          <w:color w:val="000000" w:themeColor="text1"/>
        </w:rPr>
        <w:t xml:space="preserve">nexus between volumetric design and TOD by expanding connectivity, compressing space, and redistributing functions </w:t>
      </w:r>
      <w:r w:rsidR="000E6290" w:rsidRPr="00D36C0C">
        <w:rPr>
          <w:rFonts w:ascii="Charter BT" w:hAnsi="Charter BT" w:cs="Times New Roman"/>
          <w:color w:val="000000" w:themeColor="text1"/>
        </w:rPr>
        <w:t>volumetrically</w:t>
      </w:r>
      <w:r w:rsidR="005C50AA" w:rsidRPr="00D36C0C">
        <w:rPr>
          <w:rFonts w:ascii="Charter BT" w:hAnsi="Charter BT" w:cs="Times New Roman"/>
          <w:color w:val="000000" w:themeColor="text1"/>
        </w:rPr>
        <w:t xml:space="preserve">. </w:t>
      </w:r>
    </w:p>
    <w:p w14:paraId="47699C21" w14:textId="2F885F02" w:rsidR="00003341" w:rsidRPr="00D36C0C" w:rsidRDefault="005C50AA" w:rsidP="00003341">
      <w:pPr>
        <w:jc w:val="both"/>
        <w:rPr>
          <w:rFonts w:ascii="Charter BT" w:hAnsi="Charter BT" w:hint="eastAsia"/>
          <w:b/>
          <w:bCs/>
        </w:rPr>
      </w:pPr>
      <w:r w:rsidRPr="00D36C0C">
        <w:rPr>
          <w:rFonts w:ascii="Charter BT" w:hAnsi="Charter BT"/>
        </w:rPr>
        <w:t xml:space="preserve">We have carefully revised the sentences and structure of the manuscript, reinforcing the logical coherence and flow between the newly added and existing sections. </w:t>
      </w:r>
      <w:r w:rsidR="0009413E" w:rsidRPr="00D36C0C">
        <w:rPr>
          <w:rFonts w:ascii="Charter BT" w:hAnsi="Charter BT"/>
        </w:rPr>
        <w:t>We have</w:t>
      </w:r>
      <w:r w:rsidR="004F6D2E" w:rsidRPr="00D36C0C">
        <w:rPr>
          <w:rFonts w:ascii="Charter BT" w:hAnsi="Charter BT"/>
        </w:rPr>
        <w:t xml:space="preserve"> also</w:t>
      </w:r>
      <w:r w:rsidR="0009413E" w:rsidRPr="00D36C0C">
        <w:rPr>
          <w:rFonts w:ascii="Charter BT" w:hAnsi="Charter BT"/>
        </w:rPr>
        <w:t xml:space="preserve"> carefully checked the grammatical issues and corrected the typos. W</w:t>
      </w:r>
      <w:r w:rsidR="00D77278" w:rsidRPr="00D36C0C">
        <w:rPr>
          <w:rFonts w:ascii="Charter BT" w:hAnsi="Charter BT"/>
        </w:rPr>
        <w:t>e hope that t</w:t>
      </w:r>
      <w:r w:rsidRPr="00D36C0C">
        <w:rPr>
          <w:rFonts w:ascii="Charter BT" w:hAnsi="Charter BT"/>
        </w:rPr>
        <w:t xml:space="preserve">he </w:t>
      </w:r>
      <w:r w:rsidR="00195319" w:rsidRPr="00D36C0C">
        <w:rPr>
          <w:rFonts w:ascii="Charter BT" w:hAnsi="Charter BT"/>
        </w:rPr>
        <w:t>readability</w:t>
      </w:r>
      <w:r w:rsidRPr="00D36C0C">
        <w:rPr>
          <w:rFonts w:ascii="Charter BT" w:hAnsi="Charter BT"/>
        </w:rPr>
        <w:t xml:space="preserve"> </w:t>
      </w:r>
      <w:r w:rsidR="00D77278" w:rsidRPr="00D36C0C">
        <w:rPr>
          <w:rFonts w:ascii="Charter BT" w:hAnsi="Charter BT"/>
        </w:rPr>
        <w:t xml:space="preserve">has been </w:t>
      </w:r>
      <w:r w:rsidRPr="00D36C0C">
        <w:rPr>
          <w:rFonts w:ascii="Charter BT" w:hAnsi="Charter BT"/>
        </w:rPr>
        <w:t>significantly improved for both reviewers and the broader audience.</w:t>
      </w:r>
      <w:r w:rsidR="0009413E" w:rsidRPr="00D36C0C">
        <w:rPr>
          <w:rFonts w:ascii="Charter BT" w:hAnsi="Charter BT"/>
          <w:b/>
          <w:bCs/>
        </w:rPr>
        <w:t xml:space="preserve"> </w:t>
      </w:r>
    </w:p>
    <w:p w14:paraId="43A75EDA" w14:textId="15746FAA" w:rsidR="00003341" w:rsidRPr="00D36C0C" w:rsidRDefault="00003341" w:rsidP="00003341">
      <w:pPr>
        <w:jc w:val="both"/>
        <w:rPr>
          <w:rFonts w:ascii="Charter BT" w:hAnsi="Charter BT" w:hint="eastAsia"/>
          <w:b/>
          <w:bCs/>
        </w:rPr>
      </w:pPr>
      <w:r w:rsidRPr="00D36C0C">
        <w:rPr>
          <w:rFonts w:ascii="Charter BT" w:hAnsi="Charter BT"/>
          <w:b/>
          <w:bCs/>
        </w:rPr>
        <w:t>Please find below a point</w:t>
      </w:r>
      <w:r w:rsidR="009A65D9" w:rsidRPr="00D36C0C">
        <w:rPr>
          <w:rFonts w:ascii="Charter BT" w:hAnsi="Charter BT"/>
          <w:b/>
          <w:bCs/>
        </w:rPr>
        <w:t>-to-</w:t>
      </w:r>
      <w:r w:rsidRPr="00D36C0C">
        <w:rPr>
          <w:rFonts w:ascii="Charter BT" w:hAnsi="Charter BT"/>
          <w:b/>
          <w:bCs/>
        </w:rPr>
        <w:t>point response</w:t>
      </w:r>
      <w:r w:rsidR="00636C14" w:rsidRPr="00D36C0C">
        <w:rPr>
          <w:rFonts w:ascii="Charter BT" w:hAnsi="Charter BT"/>
          <w:b/>
          <w:bCs/>
        </w:rPr>
        <w:t>:</w:t>
      </w:r>
    </w:p>
    <w:p w14:paraId="34E13941" w14:textId="0F2D13F6" w:rsidR="00B466FD" w:rsidRPr="00D36C0C" w:rsidRDefault="00213CFE" w:rsidP="0009413E">
      <w:pPr>
        <w:jc w:val="both"/>
        <w:rPr>
          <w:rFonts w:ascii="Charter BT" w:hAnsi="Charter BT" w:hint="eastAsia"/>
        </w:rPr>
      </w:pPr>
      <w:r w:rsidRPr="00D36C0C">
        <w:rPr>
          <w:rFonts w:ascii="Charter BT" w:hAnsi="Charter BT"/>
        </w:rPr>
        <w:lastRenderedPageBreak/>
        <w:br/>
      </w:r>
      <w:r w:rsidR="00B42199" w:rsidRPr="00D36C0C">
        <w:rPr>
          <w:rFonts w:ascii="Charter BT" w:hAnsi="Charter BT"/>
        </w:rPr>
        <w:t xml:space="preserve">1. </w:t>
      </w:r>
      <w:r w:rsidRPr="00D36C0C">
        <w:rPr>
          <w:rFonts w:ascii="Charter BT" w:hAnsi="Charter BT"/>
        </w:rPr>
        <w:t>The research gap is not clearly identified. The easy divide between two-dimensional</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three-dimensional measures seems to be clear, but it is a result of lazy</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cheating conceptualisation</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classification. If we dive into both the traditional (e.g., since the mid-20th century)</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recent literature (e.g., since 21st century), we will find that many scholars have argued that our cities should not be reduced to a single layer of a figure-ground map. To tackle urban complexities, a range of mapping</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 xml:space="preserve">spatial analysis have been established, many of which aim to address the challenge of mapping 3D attributes through 2D maps </w:t>
      </w:r>
      <w:r w:rsidRPr="00D36C0C">
        <w:rPr>
          <w:rFonts w:ascii="Charter BT" w:hAnsi="Charter BT" w:cs="Charter"/>
        </w:rPr>
        <w:t>–</w:t>
      </w:r>
      <w:r w:rsidRPr="00D36C0C">
        <w:rPr>
          <w:rFonts w:ascii="Charter BT" w:hAnsi="Charter BT"/>
        </w:rPr>
        <w:t xml:space="preserve"> e.g., the functional mix map by Pafka</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Dovey (recognised in the latter part of the manuscript)</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 xml:space="preserve">creative density measures by Pafka. Mapping is not tracing. Mapping is a form of analysis that is used to identify certain patterns from urban complexities </w:t>
      </w:r>
      <w:r w:rsidRPr="00D36C0C">
        <w:rPr>
          <w:rFonts w:ascii="Charter BT" w:hAnsi="Charter BT" w:cs="Charter"/>
        </w:rPr>
        <w:t>–</w:t>
      </w:r>
      <w:r w:rsidRPr="00D36C0C">
        <w:rPr>
          <w:rFonts w:ascii="Charter BT" w:hAnsi="Charter BT"/>
        </w:rPr>
        <w:t xml:space="preserve"> so a 2D map is a legitimate form to depict certain 3D qualities resulting from analysis</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 xml:space="preserve">abstraction. Tracing refers to describing all realities into one map </w:t>
      </w:r>
      <w:r w:rsidRPr="00D36C0C">
        <w:rPr>
          <w:rFonts w:ascii="Charter BT" w:hAnsi="Charter BT" w:cs="Charter"/>
        </w:rPr>
        <w:t>–</w:t>
      </w:r>
      <w:r w:rsidRPr="00D36C0C">
        <w:rPr>
          <w:rFonts w:ascii="Charter BT" w:hAnsi="Charter BT"/>
        </w:rPr>
        <w:t xml:space="preserve"> it is impossible for a 2D map to capture all 3D attributes.</w:t>
      </w:r>
    </w:p>
    <w:p w14:paraId="4EAD2090" w14:textId="77777777" w:rsidR="00C6178F" w:rsidRPr="00D36C0C" w:rsidRDefault="00C6178F" w:rsidP="00213CFE">
      <w:pPr>
        <w:jc w:val="both"/>
        <w:rPr>
          <w:rFonts w:ascii="Charter BT" w:hAnsi="Charter BT" w:hint="eastAsia"/>
        </w:rPr>
      </w:pPr>
    </w:p>
    <w:p w14:paraId="5D353119" w14:textId="2CAB4024" w:rsidR="006535B3" w:rsidRPr="00D36C0C" w:rsidRDefault="001E6044" w:rsidP="000546B2">
      <w:pPr>
        <w:ind w:left="-426" w:firstLine="710"/>
        <w:jc w:val="both"/>
        <w:rPr>
          <w:rFonts w:ascii="Charter BT" w:hAnsi="Charter BT" w:hint="eastAsia"/>
          <w:b/>
          <w:bCs/>
        </w:rPr>
      </w:pPr>
      <w:r w:rsidRPr="00D36C0C">
        <w:rPr>
          <w:rFonts w:ascii="Charter BT" w:hAnsi="Charter BT"/>
          <w:b/>
          <w:bCs/>
        </w:rPr>
        <w:t>Response:</w:t>
      </w:r>
      <w:r w:rsidR="00C6178F" w:rsidRPr="00D36C0C">
        <w:rPr>
          <w:rFonts w:ascii="Charter BT" w:hAnsi="Charter BT"/>
          <w:b/>
          <w:bCs/>
        </w:rPr>
        <w:t xml:space="preserve"> </w:t>
      </w:r>
      <w:r w:rsidR="00C6178F" w:rsidRPr="00D36C0C">
        <w:rPr>
          <w:rFonts w:ascii="Charter BT" w:hAnsi="Charter BT"/>
        </w:rPr>
        <w:t xml:space="preserve">Thank you very much for your suggestion. </w:t>
      </w:r>
      <w:r w:rsidR="00720131" w:rsidRPr="00D36C0C">
        <w:rPr>
          <w:rFonts w:ascii="Charter BT" w:hAnsi="Charter BT"/>
        </w:rPr>
        <w:t xml:space="preserve">We agree </w:t>
      </w:r>
      <w:r w:rsidR="00BB7A02" w:rsidRPr="00D36C0C">
        <w:rPr>
          <w:rFonts w:ascii="Charter BT" w:hAnsi="Charter BT"/>
        </w:rPr>
        <w:t>that</w:t>
      </w:r>
      <w:r w:rsidR="00720131" w:rsidRPr="00D36C0C">
        <w:rPr>
          <w:rFonts w:ascii="Charter BT" w:hAnsi="Charter BT"/>
        </w:rPr>
        <w:t xml:space="preserve"> </w:t>
      </w:r>
      <w:r w:rsidR="00BB7A02" w:rsidRPr="00D36C0C">
        <w:rPr>
          <w:rFonts w:ascii="Charter BT" w:hAnsi="Charter BT"/>
        </w:rPr>
        <w:t xml:space="preserve">an abstract </w:t>
      </w:r>
      <w:r w:rsidR="00720131" w:rsidRPr="00D36C0C">
        <w:rPr>
          <w:rFonts w:ascii="Charter BT" w:hAnsi="Charter BT"/>
        </w:rPr>
        <w:t>2D map</w:t>
      </w:r>
      <w:r w:rsidR="00BB7A02" w:rsidRPr="00D36C0C">
        <w:rPr>
          <w:rFonts w:ascii="Charter BT" w:hAnsi="Charter BT"/>
        </w:rPr>
        <w:t xml:space="preserve">ping is not </w:t>
      </w:r>
      <w:r w:rsidR="00797AB2" w:rsidRPr="00D36C0C">
        <w:rPr>
          <w:rFonts w:ascii="Charter BT" w:hAnsi="Charter BT"/>
        </w:rPr>
        <w:t>intend</w:t>
      </w:r>
      <w:r w:rsidR="00BB7A02" w:rsidRPr="00D36C0C">
        <w:rPr>
          <w:rFonts w:ascii="Charter BT" w:hAnsi="Charter BT"/>
        </w:rPr>
        <w:t xml:space="preserve">ed </w:t>
      </w:r>
      <w:r w:rsidR="00797AB2" w:rsidRPr="00D36C0C">
        <w:rPr>
          <w:rFonts w:ascii="Charter BT" w:hAnsi="Charter BT"/>
        </w:rPr>
        <w:t>to</w:t>
      </w:r>
      <w:r w:rsidR="00720131" w:rsidRPr="00D36C0C">
        <w:rPr>
          <w:rFonts w:ascii="Charter BT" w:hAnsi="Charter BT"/>
        </w:rPr>
        <w:t xml:space="preserve"> captur</w:t>
      </w:r>
      <w:r w:rsidR="00797AB2" w:rsidRPr="00D36C0C">
        <w:rPr>
          <w:rFonts w:ascii="Charter BT" w:hAnsi="Charter BT"/>
        </w:rPr>
        <w:t>e</w:t>
      </w:r>
      <w:r w:rsidR="00720131" w:rsidRPr="00D36C0C">
        <w:rPr>
          <w:rFonts w:ascii="Charter BT" w:hAnsi="Charter BT"/>
        </w:rPr>
        <w:t xml:space="preserve"> all 3D attributes</w:t>
      </w:r>
      <w:r w:rsidR="00D37A72" w:rsidRPr="00D36C0C">
        <w:rPr>
          <w:rFonts w:ascii="Charter BT" w:hAnsi="Charter BT"/>
        </w:rPr>
        <w:t xml:space="preserve">, </w:t>
      </w:r>
      <w:r w:rsidR="00CF5126" w:rsidRPr="00D36C0C">
        <w:rPr>
          <w:rFonts w:ascii="Charter BT" w:hAnsi="Charter BT"/>
        </w:rPr>
        <w:t>and we have been inspired by Pafka and Dovey’s innovative measuring work.</w:t>
      </w:r>
      <w:r w:rsidR="001A0FAE" w:rsidRPr="00D36C0C">
        <w:rPr>
          <w:rFonts w:ascii="Charter BT" w:hAnsi="Charter BT"/>
        </w:rPr>
        <w:t xml:space="preserve"> Methodologically,</w:t>
      </w:r>
      <w:r w:rsidR="006535B3" w:rsidRPr="00D36C0C">
        <w:rPr>
          <w:rFonts w:ascii="Charter BT" w:hAnsi="Charter BT"/>
        </w:rPr>
        <w:t xml:space="preserve"> </w:t>
      </w:r>
      <w:r w:rsidR="00720131" w:rsidRPr="00D36C0C">
        <w:rPr>
          <w:rFonts w:ascii="Charter BT" w:hAnsi="Charter BT"/>
        </w:rPr>
        <w:t xml:space="preserve">it </w:t>
      </w:r>
      <w:r w:rsidR="00845381" w:rsidRPr="00D36C0C">
        <w:rPr>
          <w:rFonts w:ascii="Charter BT" w:hAnsi="Charter BT"/>
        </w:rPr>
        <w:t>remains</w:t>
      </w:r>
      <w:r w:rsidR="00720131" w:rsidRPr="00D36C0C">
        <w:rPr>
          <w:rFonts w:ascii="Charter BT" w:hAnsi="Charter BT"/>
        </w:rPr>
        <w:t xml:space="preserve"> meaningful to </w:t>
      </w:r>
      <w:r w:rsidR="006535B3" w:rsidRPr="00D36C0C">
        <w:rPr>
          <w:rFonts w:ascii="Charter BT" w:hAnsi="Charter BT"/>
        </w:rPr>
        <w:t>develop and appl</w:t>
      </w:r>
      <w:r w:rsidR="00720131" w:rsidRPr="00D36C0C">
        <w:rPr>
          <w:rFonts w:ascii="Charter BT" w:hAnsi="Charter BT"/>
        </w:rPr>
        <w:t>y</w:t>
      </w:r>
      <w:r w:rsidR="006535B3" w:rsidRPr="00D36C0C">
        <w:rPr>
          <w:rFonts w:ascii="Charter BT" w:hAnsi="Charter BT"/>
        </w:rPr>
        <w:t xml:space="preserve"> new </w:t>
      </w:r>
      <w:r w:rsidR="009F2020" w:rsidRPr="00D36C0C">
        <w:rPr>
          <w:rFonts w:ascii="Charter BT" w:hAnsi="Charter BT"/>
        </w:rPr>
        <w:t xml:space="preserve">3D </w:t>
      </w:r>
      <w:r w:rsidR="006535B3" w:rsidRPr="00D36C0C">
        <w:rPr>
          <w:rFonts w:ascii="Charter BT" w:hAnsi="Charter BT"/>
        </w:rPr>
        <w:t>measures</w:t>
      </w:r>
      <w:r w:rsidR="00720131" w:rsidRPr="00D36C0C">
        <w:rPr>
          <w:rFonts w:ascii="Charter BT" w:hAnsi="Charter BT"/>
        </w:rPr>
        <w:t xml:space="preserve"> to</w:t>
      </w:r>
      <w:r w:rsidR="006C0F6E" w:rsidRPr="00D36C0C">
        <w:rPr>
          <w:rFonts w:ascii="Charter BT" w:hAnsi="Charter BT"/>
        </w:rPr>
        <w:t xml:space="preserve"> better</w:t>
      </w:r>
      <w:r w:rsidR="00720131" w:rsidRPr="00D36C0C">
        <w:rPr>
          <w:rFonts w:ascii="Charter BT" w:hAnsi="Charter BT"/>
        </w:rPr>
        <w:t xml:space="preserve"> reflect </w:t>
      </w:r>
      <w:r w:rsidR="001E4820" w:rsidRPr="00D36C0C">
        <w:rPr>
          <w:rFonts w:ascii="Charter BT" w:hAnsi="Charter BT"/>
        </w:rPr>
        <w:t xml:space="preserve">the </w:t>
      </w:r>
      <w:r w:rsidR="00720131" w:rsidRPr="00D36C0C">
        <w:rPr>
          <w:rFonts w:ascii="Charter BT" w:hAnsi="Charter BT"/>
        </w:rPr>
        <w:t>complex urban environments</w:t>
      </w:r>
      <w:r w:rsidR="00FA52D1" w:rsidRPr="00D36C0C">
        <w:rPr>
          <w:rFonts w:ascii="Charter BT" w:hAnsi="Charter BT"/>
        </w:rPr>
        <w:t xml:space="preserve">, for which Hong Kong’s context </w:t>
      </w:r>
      <w:r w:rsidR="00DD204C" w:rsidRPr="00D36C0C">
        <w:rPr>
          <w:rFonts w:ascii="Charter BT" w:hAnsi="Charter BT"/>
        </w:rPr>
        <w:t xml:space="preserve">(and </w:t>
      </w:r>
      <w:r w:rsidR="00355432" w:rsidRPr="00D36C0C">
        <w:rPr>
          <w:rFonts w:ascii="Charter BT" w:hAnsi="Charter BT"/>
        </w:rPr>
        <w:t>fine</w:t>
      </w:r>
      <w:r w:rsidR="000A29FB" w:rsidRPr="00D36C0C">
        <w:rPr>
          <w:rFonts w:ascii="Charter BT" w:hAnsi="Charter BT"/>
        </w:rPr>
        <w:t>-</w:t>
      </w:r>
      <w:r w:rsidR="00355432" w:rsidRPr="00D36C0C">
        <w:rPr>
          <w:rFonts w:ascii="Charter BT" w:hAnsi="Charter BT"/>
        </w:rPr>
        <w:t xml:space="preserve">grained </w:t>
      </w:r>
      <w:r w:rsidR="00DD204C" w:rsidRPr="00D36C0C">
        <w:rPr>
          <w:rFonts w:ascii="Charter BT" w:hAnsi="Charter BT"/>
        </w:rPr>
        <w:t xml:space="preserve">data) </w:t>
      </w:r>
      <w:r w:rsidR="006F10EB" w:rsidRPr="00D36C0C">
        <w:rPr>
          <w:rFonts w:ascii="Charter BT" w:hAnsi="Charter BT"/>
        </w:rPr>
        <w:t>offer</w:t>
      </w:r>
      <w:r w:rsidR="00FA52D1" w:rsidRPr="00D36C0C">
        <w:rPr>
          <w:rFonts w:ascii="Charter BT" w:hAnsi="Charter BT"/>
        </w:rPr>
        <w:t xml:space="preserve"> unique value and generality </w:t>
      </w:r>
      <w:r w:rsidR="006F10EB" w:rsidRPr="00D36C0C">
        <w:rPr>
          <w:rFonts w:ascii="Charter BT" w:hAnsi="Charter BT"/>
        </w:rPr>
        <w:t>in</w:t>
      </w:r>
      <w:r w:rsidR="00FA52D1" w:rsidRPr="00D36C0C">
        <w:rPr>
          <w:rFonts w:ascii="Charter BT" w:hAnsi="Charter BT"/>
        </w:rPr>
        <w:t xml:space="preserve"> understand</w:t>
      </w:r>
      <w:r w:rsidR="006F10EB" w:rsidRPr="00D36C0C">
        <w:rPr>
          <w:rFonts w:ascii="Charter BT" w:hAnsi="Charter BT"/>
        </w:rPr>
        <w:t>ing</w:t>
      </w:r>
      <w:r w:rsidR="00FA52D1" w:rsidRPr="00D36C0C">
        <w:rPr>
          <w:rFonts w:ascii="Charter BT" w:hAnsi="Charter BT"/>
        </w:rPr>
        <w:t xml:space="preserve"> the new model of volumetric urban design</w:t>
      </w:r>
      <w:r w:rsidR="00845381" w:rsidRPr="00D36C0C">
        <w:rPr>
          <w:rFonts w:ascii="Charter BT" w:hAnsi="Charter BT"/>
        </w:rPr>
        <w:t>.</w:t>
      </w:r>
    </w:p>
    <w:p w14:paraId="71856572" w14:textId="2B7BB1F7" w:rsidR="007D21CB" w:rsidRPr="00D36C0C" w:rsidRDefault="006535B3" w:rsidP="00C65C91">
      <w:pPr>
        <w:ind w:left="-426" w:firstLine="426"/>
        <w:jc w:val="both"/>
        <w:rPr>
          <w:rFonts w:ascii="Charter BT" w:hAnsi="Charter BT" w:cs="Times New Roman" w:hint="eastAsia"/>
          <w:color w:val="000000" w:themeColor="text1"/>
        </w:rPr>
      </w:pPr>
      <w:r w:rsidRPr="00D36C0C">
        <w:rPr>
          <w:rFonts w:ascii="Charter BT" w:hAnsi="Charter BT"/>
        </w:rPr>
        <w:t xml:space="preserve">Regarding the </w:t>
      </w:r>
      <w:r w:rsidR="00D37A72" w:rsidRPr="00D36C0C">
        <w:rPr>
          <w:rFonts w:ascii="Charter BT" w:hAnsi="Charter BT"/>
        </w:rPr>
        <w:t>specific</w:t>
      </w:r>
      <w:r w:rsidRPr="00D36C0C">
        <w:rPr>
          <w:rFonts w:ascii="Charter BT" w:hAnsi="Charter BT"/>
        </w:rPr>
        <w:t xml:space="preserve"> methodol</w:t>
      </w:r>
      <w:r w:rsidR="00D37A72" w:rsidRPr="00D36C0C">
        <w:rPr>
          <w:rFonts w:ascii="Charter BT" w:hAnsi="Charter BT"/>
        </w:rPr>
        <w:t xml:space="preserve">ogy </w:t>
      </w:r>
      <w:r w:rsidR="0012166B" w:rsidRPr="00D36C0C">
        <w:rPr>
          <w:rFonts w:ascii="Charter BT" w:hAnsi="Charter BT"/>
          <w:kern w:val="0"/>
          <w14:ligatures w14:val="none"/>
        </w:rPr>
        <w:t>for 2D and 3D environment measures, it is true that several recent studies have taken steps forward and considered three-dimensional information in their measurements.</w:t>
      </w:r>
      <w:r w:rsidR="00C6178F" w:rsidRPr="00D36C0C">
        <w:rPr>
          <w:rFonts w:ascii="Charter BT" w:hAnsi="Charter BT"/>
        </w:rPr>
        <w:t xml:space="preserve"> </w:t>
      </w:r>
      <w:r w:rsidR="00735E0F" w:rsidRPr="00D36C0C">
        <w:rPr>
          <w:rFonts w:ascii="Charter BT" w:hAnsi="Charter BT"/>
        </w:rPr>
        <w:t>However, the data</w:t>
      </w:r>
      <w:r w:rsidR="0012166B" w:rsidRPr="00D36C0C">
        <w:rPr>
          <w:rFonts w:ascii="Charter BT" w:hAnsi="Charter BT"/>
        </w:rPr>
        <w:t xml:space="preserve"> to do so </w:t>
      </w:r>
      <w:r w:rsidR="009E57A1" w:rsidRPr="00D36C0C">
        <w:rPr>
          <w:rFonts w:ascii="Charter BT" w:hAnsi="Charter BT"/>
        </w:rPr>
        <w:t xml:space="preserve">is </w:t>
      </w:r>
      <w:r w:rsidR="0012166B" w:rsidRPr="00D36C0C">
        <w:rPr>
          <w:rFonts w:ascii="Charter BT" w:hAnsi="Charter BT"/>
        </w:rPr>
        <w:t xml:space="preserve">mostly </w:t>
      </w:r>
      <w:r w:rsidRPr="00D36C0C">
        <w:rPr>
          <w:rFonts w:ascii="Charter BT" w:hAnsi="Charter BT"/>
        </w:rPr>
        <w:t>constrained</w:t>
      </w:r>
      <w:r w:rsidR="00735E0F" w:rsidRPr="00D36C0C">
        <w:rPr>
          <w:rFonts w:ascii="Charter BT" w:hAnsi="Charter BT"/>
        </w:rPr>
        <w:t xml:space="preserve">. </w:t>
      </w:r>
      <w:r w:rsidR="0099686F" w:rsidRPr="00D36C0C">
        <w:rPr>
          <w:rFonts w:ascii="Charter BT" w:hAnsi="Charter BT" w:cs="Segoe UI"/>
          <w:color w:val="242424"/>
          <w:shd w:val="clear" w:color="auto" w:fill="FFFFFF"/>
        </w:rPr>
        <w:t xml:space="preserve">With </w:t>
      </w:r>
      <w:r w:rsidR="00745410" w:rsidRPr="00D36C0C">
        <w:rPr>
          <w:rFonts w:ascii="Charter BT" w:hAnsi="Charter BT" w:cs="Segoe UI"/>
          <w:color w:val="242424"/>
          <w:kern w:val="0"/>
          <w:shd w:val="clear" w:color="auto" w:fill="FFFFFF"/>
          <w14:ligatures w14:val="none"/>
        </w:rPr>
        <w:t xml:space="preserve">standardized working procedures, </w:t>
      </w:r>
      <w:r w:rsidR="00E66B26" w:rsidRPr="00D36C0C">
        <w:rPr>
          <w:rFonts w:ascii="Charter BT" w:hAnsi="Charter BT" w:cs="Segoe UI"/>
          <w:color w:val="242424"/>
          <w:kern w:val="0"/>
          <w:shd w:val="clear" w:color="auto" w:fill="FFFFFF"/>
          <w14:ligatures w14:val="none"/>
        </w:rPr>
        <w:t>we</w:t>
      </w:r>
      <w:r w:rsidR="00745410" w:rsidRPr="00D36C0C">
        <w:rPr>
          <w:rFonts w:ascii="Charter BT" w:hAnsi="Charter BT" w:cs="Segoe UI"/>
          <w:color w:val="242424"/>
          <w:kern w:val="0"/>
          <w:shd w:val="clear" w:color="auto" w:fill="FFFFFF"/>
          <w14:ligatures w14:val="none"/>
        </w:rPr>
        <w:t xml:space="preserve"> obtain information regarding POI location</w:t>
      </w:r>
      <w:r w:rsidR="00D65BFF" w:rsidRPr="00D36C0C">
        <w:rPr>
          <w:rFonts w:ascii="Charter BT" w:hAnsi="Charter BT" w:cs="Segoe UI"/>
          <w:color w:val="242424"/>
          <w:kern w:val="0"/>
          <w:shd w:val="clear" w:color="auto" w:fill="FFFFFF"/>
          <w14:ligatures w14:val="none"/>
        </w:rPr>
        <w:t>,</w:t>
      </w:r>
      <w:r w:rsidR="00745410" w:rsidRPr="00D36C0C">
        <w:rPr>
          <w:rFonts w:ascii="Charter BT" w:hAnsi="Charter BT" w:cs="Segoe UI"/>
          <w:color w:val="242424"/>
          <w:kern w:val="0"/>
          <w:shd w:val="clear" w:color="auto" w:fill="FFFFFF"/>
          <w14:ligatures w14:val="none"/>
        </w:rPr>
        <w:t xml:space="preserve"> floor information, pedestrian network typology and width, and building function</w:t>
      </w:r>
      <w:r w:rsidR="0099686F" w:rsidRPr="00D36C0C">
        <w:rPr>
          <w:rFonts w:ascii="Charter BT" w:hAnsi="Charter BT" w:cs="Segoe UI"/>
          <w:color w:val="242424"/>
          <w:shd w:val="clear" w:color="auto" w:fill="FFFFFF"/>
        </w:rPr>
        <w:t xml:space="preserve">. </w:t>
      </w:r>
      <w:r w:rsidR="0042743F" w:rsidRPr="00D36C0C">
        <w:rPr>
          <w:rFonts w:ascii="Charter BT" w:hAnsi="Charter BT" w:cs="Segoe UI"/>
          <w:color w:val="242424"/>
          <w:shd w:val="clear" w:color="auto" w:fill="FFFFFF"/>
        </w:rPr>
        <w:t xml:space="preserve">Therefore, </w:t>
      </w:r>
      <w:r w:rsidR="0042743F" w:rsidRPr="00D36C0C">
        <w:rPr>
          <w:rFonts w:ascii="Charter BT" w:hAnsi="Charter BT"/>
        </w:rPr>
        <w:t>l</w:t>
      </w:r>
      <w:r w:rsidR="00E66B26" w:rsidRPr="00D36C0C">
        <w:rPr>
          <w:rFonts w:ascii="Charter BT" w:hAnsi="Charter BT"/>
        </w:rPr>
        <w:t>everaging the newly developed 3D pedestrian network and ubiquitous POIs within a building, we aim to</w:t>
      </w:r>
      <w:r w:rsidR="00E66B26" w:rsidRPr="00D36C0C">
        <w:rPr>
          <w:rFonts w:ascii="Charter BT" w:hAnsi="Charter BT" w:cs="Times New Roman"/>
          <w:color w:val="000000" w:themeColor="text1"/>
        </w:rPr>
        <w:t xml:space="preserve"> provide a </w:t>
      </w:r>
      <w:r w:rsidR="0042743F" w:rsidRPr="00D36C0C">
        <w:rPr>
          <w:rFonts w:ascii="Charter BT" w:hAnsi="Charter BT" w:cs="Times New Roman"/>
          <w:color w:val="000000" w:themeColor="text1"/>
        </w:rPr>
        <w:t>3D</w:t>
      </w:r>
      <w:r w:rsidR="00E66B26" w:rsidRPr="00D36C0C">
        <w:rPr>
          <w:rFonts w:ascii="Charter BT" w:hAnsi="Charter BT" w:cs="Times New Roman"/>
          <w:color w:val="000000" w:themeColor="text1"/>
        </w:rPr>
        <w:t xml:space="preserve"> method with open-access data for spatial understanding and measuring of volumetric urban design measures—compression, connectedness, and functional mix. </w:t>
      </w:r>
    </w:p>
    <w:p w14:paraId="10F87D85" w14:textId="61380E66" w:rsidR="007B41C4" w:rsidRPr="00D36C0C" w:rsidRDefault="00C65C91" w:rsidP="00E36C5B">
      <w:pPr>
        <w:ind w:left="-426" w:firstLine="426"/>
        <w:jc w:val="both"/>
        <w:rPr>
          <w:rFonts w:ascii="Charter BT" w:hAnsi="Charter BT" w:hint="eastAsia"/>
        </w:rPr>
      </w:pPr>
      <w:r w:rsidRPr="00D36C0C">
        <w:rPr>
          <w:rFonts w:ascii="Charter BT" w:hAnsi="Charter BT"/>
          <w:b/>
          <w:bCs/>
        </w:rPr>
        <w:t xml:space="preserve">Here are the changes we made in the </w:t>
      </w:r>
      <w:r w:rsidR="007D21CB" w:rsidRPr="00D36C0C">
        <w:rPr>
          <w:rFonts w:ascii="Charter BT" w:hAnsi="Charter BT"/>
          <w:b/>
          <w:bCs/>
        </w:rPr>
        <w:t>revised manuscript</w:t>
      </w:r>
      <w:r w:rsidRPr="00D36C0C">
        <w:rPr>
          <w:rFonts w:ascii="Charter BT" w:hAnsi="Charter BT"/>
          <w:b/>
          <w:bCs/>
        </w:rPr>
        <w:t>:</w:t>
      </w:r>
    </w:p>
    <w:p w14:paraId="0509394A" w14:textId="66AD145C" w:rsidR="002A0D3D" w:rsidRPr="00D36C0C" w:rsidRDefault="002A0D3D" w:rsidP="00D17965">
      <w:pPr>
        <w:ind w:left="-426" w:firstLine="852"/>
        <w:jc w:val="both"/>
        <w:rPr>
          <w:rFonts w:ascii="Charter BT" w:hAnsi="Charter BT" w:cs="Times New Roman" w:hint="eastAsia"/>
          <w:color w:val="5B9BD5" w:themeColor="accent5"/>
        </w:rPr>
      </w:pPr>
      <w:r w:rsidRPr="00D36C0C">
        <w:rPr>
          <w:rFonts w:ascii="Charter BT" w:hAnsi="Charter BT" w:cs="Times New Roman"/>
          <w:color w:val="5B9BD5" w:themeColor="accent5"/>
        </w:rPr>
        <w:t>“</w:t>
      </w:r>
      <w:r w:rsidR="004E4FD6" w:rsidRPr="00D36C0C">
        <w:rPr>
          <w:rFonts w:ascii="Charter BT" w:hAnsi="Charter BT" w:cs="Times New Roman"/>
          <w:color w:val="5B9BD5" w:themeColor="accent5"/>
        </w:rPr>
        <w:t xml:space="preserve">Despite growing recognition of these multi-layered characteristics in high-density cities (Harris, 2015), most studies still rely on a figure-ground approach, focusing on mono-functional land plots, street centroid lines, or building footprints. Recent work has introduced new methods to capture the vertical complexity, such as function composition using cadastral data (Dovey &amp; Pafka, 2017), multi-scale density (Pafka, 2023), and compression via building volumes (Wang et al., 2022). However, these metrics are typically limited to small areas and lack broader applicability for </w:t>
      </w:r>
      <w:r w:rsidR="004E4FD6" w:rsidRPr="00D36C0C">
        <w:rPr>
          <w:rFonts w:ascii="Charter BT" w:hAnsi="Charter BT" w:cs="Times New Roman"/>
          <w:color w:val="5B9BD5" w:themeColor="accent5"/>
        </w:rPr>
        <w:lastRenderedPageBreak/>
        <w:t xml:space="preserve">cross-context comparisons. There remains a lack of a generalisable framework for understanding the principles and measuring the volumetric urban design </w:t>
      </w:r>
      <w:r w:rsidRPr="00D36C0C">
        <w:rPr>
          <w:rFonts w:ascii="Charter BT" w:hAnsi="Charter BT" w:cs="Times New Roman"/>
          <w:color w:val="5B9BD5" w:themeColor="accent5"/>
        </w:rPr>
        <w:t xml:space="preserve">(Line </w:t>
      </w:r>
      <w:r w:rsidR="004E4FD6" w:rsidRPr="00D36C0C">
        <w:rPr>
          <w:rFonts w:ascii="Charter BT" w:hAnsi="Charter BT" w:cs="Times New Roman"/>
          <w:color w:val="5B9BD5" w:themeColor="accent5"/>
        </w:rPr>
        <w:t>62</w:t>
      </w:r>
      <w:r w:rsidRPr="00D36C0C">
        <w:rPr>
          <w:rFonts w:ascii="Charter BT" w:hAnsi="Charter BT" w:cs="Times New Roman"/>
          <w:color w:val="5B9BD5" w:themeColor="accent5"/>
        </w:rPr>
        <w:t>-</w:t>
      </w:r>
      <w:r w:rsidR="004E4FD6" w:rsidRPr="00D36C0C">
        <w:rPr>
          <w:rFonts w:ascii="Charter BT" w:hAnsi="Charter BT" w:cs="Times New Roman"/>
          <w:color w:val="5B9BD5" w:themeColor="accent5"/>
        </w:rPr>
        <w:t>70</w:t>
      </w:r>
      <w:r w:rsidRPr="00D36C0C">
        <w:rPr>
          <w:rFonts w:ascii="Charter BT" w:hAnsi="Charter BT" w:cs="Times New Roman"/>
          <w:color w:val="5B9BD5" w:themeColor="accent5"/>
        </w:rPr>
        <w:t>).”</w:t>
      </w:r>
    </w:p>
    <w:p w14:paraId="78908EA1" w14:textId="77777777" w:rsidR="00C7284D" w:rsidRPr="00D36C0C" w:rsidRDefault="00E145CC" w:rsidP="00C7284D">
      <w:pPr>
        <w:ind w:left="-426" w:firstLine="852"/>
        <w:jc w:val="both"/>
        <w:rPr>
          <w:rFonts w:ascii="Charter BT" w:hAnsi="Charter BT" w:cs="Times New Roman" w:hint="eastAsia"/>
          <w:color w:val="5B9BD5" w:themeColor="accent5"/>
        </w:rPr>
      </w:pPr>
      <w:r w:rsidRPr="00D36C0C">
        <w:rPr>
          <w:rFonts w:ascii="Charter BT" w:hAnsi="Charter BT" w:cs="Times New Roman"/>
          <w:color w:val="5B9BD5" w:themeColor="accent5"/>
        </w:rPr>
        <w:t>“</w:t>
      </w:r>
      <w:r w:rsidR="00C7284D" w:rsidRPr="00D36C0C">
        <w:rPr>
          <w:rFonts w:ascii="Charter BT" w:hAnsi="Charter BT" w:cs="Times New Roman"/>
          <w:color w:val="5B9BD5" w:themeColor="accent5"/>
        </w:rPr>
        <w:t>In Hong Kong, metro stations are integrated with single commercial complexes and residential towers through three-dimensional pedestrian networks, including footbridges, tunnels, elevators, and escalators (Shelton et al., 2013). Elevated and underground walkways connect podiums, shopping arcades, and residential towers into larger volumes, creating clusters across multiple layers and extending the urban fabric. Though these multi-level walkways are considered defining features of volumetric design, the interactions between multi-level connections, complex spatial organisation, volumetric design, and TOD remain unclear.</w:t>
      </w:r>
    </w:p>
    <w:p w14:paraId="2B69847E" w14:textId="77777777" w:rsidR="008F2B73" w:rsidRPr="00D36C0C" w:rsidRDefault="008F2B73" w:rsidP="008F2B73">
      <w:pPr>
        <w:ind w:left="-426" w:firstLine="852"/>
        <w:jc w:val="both"/>
        <w:rPr>
          <w:rFonts w:ascii="Charter BT" w:hAnsi="Charter BT" w:cs="Times New Roman" w:hint="eastAsia"/>
          <w:color w:val="5B9BD5" w:themeColor="accent5"/>
        </w:rPr>
      </w:pPr>
      <w:r w:rsidRPr="00D36C0C">
        <w:rPr>
          <w:rFonts w:ascii="Charter BT" w:hAnsi="Charter BT" w:cs="Times New Roman"/>
          <w:color w:val="5B9BD5" w:themeColor="accent5"/>
        </w:rPr>
        <w:t>The second defining feature of volumetric urban design in Hong Kong is the integration of the Mass Transit Railway (MTR) system, which follows transit-oriented development (TOD) principles. Hong Kong’s reliance on the metro system is evident: nearly half the population lives within 500 metres of a station, and 70% of riders walk to and from the metro, contributing to an average daily ridership of 4.69 million (Sun et al., 2021). This TOD approach promotes high density, mixed land use, and enhanced connectivity within station catchment areas. In addition, seamless integration of pedestrian networks with metro stations connects multi-level urban interfaces, supporting both mobility and urban cohesion (Villani et al., 2022). The expansion of underground and elevated spaces enables the vertical stacking of urban functions, creating environments that extend above and below ground (Zacharias &amp; He, 2018; Zhang &amp; Chiaradia, 2022).  Metro stations are directly linked to commercial complexes and residential towers through a comprehensive three-dimensional pedestrian network, including footbridges, tunnels, elevators, and escalators. Elevated and underground walkways connect podiums, shopping malls, and towers, generating large, multi-layered volumes and enhancing walkability. Many internal spaces, privately owned yet publicly accessible, are integrated with metro stations, providing climate-controlled, open spaces that serve both commuters and the public (Shelton et al., 2013). The ongoing expansion of the metro and its integration with property developments has fostered creative, pedestrian-oriented urban design, making three-dimensional connectivity a hallmark of the city’s design fabric. However, the complex interactions between multi-level connections, spatial organisation, and TOD in the volumetric design warrant further investigation.</w:t>
      </w:r>
    </w:p>
    <w:p w14:paraId="20A15180" w14:textId="0A8D7BBD" w:rsidR="00072219" w:rsidRPr="00D36C0C" w:rsidRDefault="008F2B73" w:rsidP="008F2B73">
      <w:pPr>
        <w:ind w:left="-426" w:firstLine="852"/>
        <w:jc w:val="both"/>
        <w:rPr>
          <w:rFonts w:ascii="Charter BT" w:hAnsi="Charter BT" w:cs="Times New Roman" w:hint="eastAsia"/>
          <w:color w:val="5B9BD5" w:themeColor="accent5"/>
        </w:rPr>
      </w:pPr>
      <w:r w:rsidRPr="00D36C0C">
        <w:rPr>
          <w:rFonts w:ascii="Charter BT" w:hAnsi="Charter BT" w:cs="Times New Roman"/>
          <w:color w:val="5B9BD5" w:themeColor="accent5"/>
        </w:rPr>
        <w:t xml:space="preserve">This paper measures three core attributes of volumetric urban design in Hong Kong: compression, connectedness, and functional mix. It addresses a critical gap in measuring multi-layered developments by proposing an operationalised and replicable method, using open-access, fine-grained data. We applied and validated these new measures in areas around metro stations, which are featured as typical volumetric environments and TOD contexts, to confirm their effectiveness. Furthermore, we examined how multi-level pedestrian networks connect metro stations and surrounding buildings by expanding connectivity, compressing space, and </w:t>
      </w:r>
      <w:r w:rsidRPr="00D36C0C">
        <w:rPr>
          <w:rFonts w:ascii="Charter BT" w:hAnsi="Charter BT" w:cs="Times New Roman"/>
          <w:color w:val="5B9BD5" w:themeColor="accent5"/>
        </w:rPr>
        <w:lastRenderedPageBreak/>
        <w:t>redistributing functions vertically and horizontally. This research advances the spatial understanding of complex, multi-layered urban forms and provides novel tools for researchers and practitioners to analyse volumetric urban design in high-density cities</w:t>
      </w:r>
      <w:r w:rsidR="00C7284D" w:rsidRPr="00D36C0C">
        <w:rPr>
          <w:rFonts w:ascii="Charter BT" w:hAnsi="Charter BT" w:cs="Times New Roman"/>
          <w:color w:val="5B9BD5" w:themeColor="accent5"/>
        </w:rPr>
        <w:t xml:space="preserve"> </w:t>
      </w:r>
      <w:r w:rsidR="00E145CC" w:rsidRPr="00D36C0C">
        <w:rPr>
          <w:rFonts w:ascii="Charter BT" w:hAnsi="Charter BT" w:cs="Times New Roman"/>
          <w:color w:val="5B9BD5" w:themeColor="accent5"/>
        </w:rPr>
        <w:t xml:space="preserve">(Line </w:t>
      </w:r>
      <w:r w:rsidR="00C7284D" w:rsidRPr="00D36C0C">
        <w:rPr>
          <w:rFonts w:ascii="Charter BT" w:hAnsi="Charter BT" w:cs="Times New Roman"/>
          <w:color w:val="5B9BD5" w:themeColor="accent5"/>
        </w:rPr>
        <w:t>7</w:t>
      </w:r>
      <w:r w:rsidR="00534E97" w:rsidRPr="00D36C0C">
        <w:rPr>
          <w:rFonts w:ascii="Charter BT" w:hAnsi="Charter BT" w:cs="Times New Roman"/>
          <w:color w:val="5B9BD5" w:themeColor="accent5"/>
        </w:rPr>
        <w:t>1</w:t>
      </w:r>
      <w:r w:rsidR="00E145CC" w:rsidRPr="00D36C0C">
        <w:rPr>
          <w:rFonts w:ascii="Charter BT" w:hAnsi="Charter BT" w:cs="Times New Roman"/>
          <w:color w:val="5B9BD5" w:themeColor="accent5"/>
        </w:rPr>
        <w:t>-</w:t>
      </w:r>
      <w:r w:rsidR="00534E97" w:rsidRPr="00D36C0C">
        <w:rPr>
          <w:rFonts w:ascii="Charter BT" w:hAnsi="Charter BT" w:cs="Times New Roman"/>
          <w:color w:val="5B9BD5" w:themeColor="accent5"/>
        </w:rPr>
        <w:t>100</w:t>
      </w:r>
      <w:r w:rsidR="00E145CC" w:rsidRPr="00D36C0C">
        <w:rPr>
          <w:rFonts w:ascii="Charter BT" w:hAnsi="Charter BT" w:cs="Times New Roman"/>
          <w:color w:val="5B9BD5" w:themeColor="accent5"/>
        </w:rPr>
        <w:t>).”</w:t>
      </w:r>
    </w:p>
    <w:p w14:paraId="48E0F4FE" w14:textId="77777777" w:rsidR="008E1C5D" w:rsidRPr="00D36C0C" w:rsidRDefault="00213CFE" w:rsidP="00213CFE">
      <w:pPr>
        <w:jc w:val="both"/>
        <w:rPr>
          <w:rFonts w:ascii="Charter BT" w:hAnsi="Charter BT" w:hint="eastAsia"/>
        </w:rPr>
      </w:pPr>
      <w:r w:rsidRPr="00D36C0C">
        <w:rPr>
          <w:rFonts w:ascii="Charter BT" w:hAnsi="Charter BT"/>
        </w:rPr>
        <w:br/>
      </w:r>
      <w:r w:rsidR="00B42199" w:rsidRPr="00D36C0C">
        <w:rPr>
          <w:rFonts w:ascii="Charter BT" w:hAnsi="Charter BT"/>
        </w:rPr>
        <w:t xml:space="preserve">2. </w:t>
      </w:r>
      <w:r w:rsidRPr="00D36C0C">
        <w:rPr>
          <w:rFonts w:ascii="Charter BT" w:hAnsi="Charter BT"/>
        </w:rPr>
        <w:t>Therefore, what’s really limit our capacities for analysing 3D urban systems? A lack of conceptual frameworks (unlikely given the rich literature on theorising cities as complex adaptive systems/assemblages), advanced methods for measuring 3D connections in one building</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in-between multiple buildings (unlikely as the manuscript largely adopted or adapted existing measures), fine-grain datasets (likely; private company datasets are increasingly gated, often being subject to black-boxed algorithms</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classifications; government datasets are often not well accessed by the public;</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a lack of detailed information regarding the area occupied by each tenant), or empirical tests (likely, an ignorance of Asian urbanism featuring high-density TOD areas)? I would encourage the authors to clarify the gaps, update/polish the questions,</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make them more meaningly</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substantively engaged with theory</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 xml:space="preserve">practice. </w:t>
      </w:r>
    </w:p>
    <w:p w14:paraId="463AD0D5" w14:textId="5EF3C532" w:rsidR="00B466FD" w:rsidRPr="00D36C0C" w:rsidRDefault="00213CFE" w:rsidP="00213CFE">
      <w:pPr>
        <w:jc w:val="both"/>
        <w:rPr>
          <w:rFonts w:ascii="Charter BT" w:hAnsi="Charter BT" w:hint="eastAsia"/>
        </w:rPr>
      </w:pPr>
      <w:r w:rsidRPr="00D36C0C">
        <w:rPr>
          <w:rFonts w:ascii="Charter BT" w:hAnsi="Charter BT"/>
        </w:rPr>
        <w:t>An alternative approach to polish the research gaps</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 xml:space="preserve">questions is to better engage the proposed measures with TOD </w:t>
      </w:r>
      <w:r w:rsidRPr="00D36C0C">
        <w:rPr>
          <w:rFonts w:ascii="Charter BT" w:hAnsi="Charter BT" w:cs="Charter"/>
        </w:rPr>
        <w:t>–</w:t>
      </w:r>
      <w:r w:rsidRPr="00D36C0C">
        <w:rPr>
          <w:rFonts w:ascii="Charter BT" w:hAnsi="Charter BT"/>
        </w:rPr>
        <w:t xml:space="preserve"> </w:t>
      </w:r>
      <w:bookmarkStart w:id="0" w:name="_Hlk203479854"/>
      <w:r w:rsidRPr="00D36C0C">
        <w:rPr>
          <w:rFonts w:ascii="Charter BT" w:hAnsi="Charter BT"/>
        </w:rPr>
        <w:t>which I recommended previously (in the latest response, the authors suggest that TOD is just a context). A narrower scope help shape a more concentrated research gap</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 xml:space="preserve">question. Here, the author(s) may not only apply the volumetric perspective (horizontal + vertical connections) but also shed light on the degree to which the internal paths of private enclosed shopping malls extend the catchment of a train station through public street networks. Some recent studies have performed the analysis at the ground level, while your study levelled it up to multiple levels </w:t>
      </w:r>
      <w:r w:rsidRPr="00D36C0C">
        <w:rPr>
          <w:rFonts w:ascii="Charter BT" w:hAnsi="Charter BT" w:cs="Charter"/>
        </w:rPr>
        <w:t>–</w:t>
      </w:r>
      <w:r w:rsidRPr="00D36C0C">
        <w:rPr>
          <w:rFonts w:ascii="Charter BT" w:hAnsi="Charter BT"/>
        </w:rPr>
        <w:t xml:space="preserve"> the volumetric extension.</w:t>
      </w:r>
      <w:bookmarkEnd w:id="0"/>
    </w:p>
    <w:p w14:paraId="615F3F7A" w14:textId="77777777" w:rsidR="00B466FD" w:rsidRPr="00D36C0C" w:rsidRDefault="00B466FD" w:rsidP="00213CFE">
      <w:pPr>
        <w:jc w:val="both"/>
        <w:rPr>
          <w:rFonts w:ascii="Charter BT" w:hAnsi="Charter BT" w:hint="eastAsia"/>
        </w:rPr>
      </w:pPr>
    </w:p>
    <w:p w14:paraId="3FB9811F" w14:textId="15D2EB3E" w:rsidR="005A020F" w:rsidRPr="00D36C0C" w:rsidRDefault="00B466FD" w:rsidP="00E36C5B">
      <w:pPr>
        <w:ind w:left="-426" w:firstLine="1135"/>
        <w:jc w:val="both"/>
        <w:rPr>
          <w:rFonts w:ascii="Charter BT" w:hAnsi="Charter BT" w:hint="eastAsia"/>
        </w:rPr>
      </w:pPr>
      <w:r w:rsidRPr="00D36C0C">
        <w:rPr>
          <w:rFonts w:ascii="Charter BT" w:hAnsi="Charter BT"/>
          <w:b/>
          <w:bCs/>
        </w:rPr>
        <w:t>Response:</w:t>
      </w:r>
      <w:r w:rsidR="00E145CC" w:rsidRPr="00D36C0C">
        <w:rPr>
          <w:rFonts w:ascii="Charter BT" w:hAnsi="Charter BT"/>
        </w:rPr>
        <w:t xml:space="preserve"> </w:t>
      </w:r>
      <w:r w:rsidR="004A5125" w:rsidRPr="00D36C0C">
        <w:rPr>
          <w:rFonts w:ascii="Charter BT" w:hAnsi="Charter BT"/>
        </w:rPr>
        <w:t xml:space="preserve">Thank you for your constructive comments on research question framing. </w:t>
      </w:r>
      <w:r w:rsidR="00451347" w:rsidRPr="00D36C0C">
        <w:rPr>
          <w:rFonts w:ascii="Charter BT" w:hAnsi="Charter BT"/>
        </w:rPr>
        <w:t>In the revised manuscript, we</w:t>
      </w:r>
      <w:r w:rsidR="005F0E98" w:rsidRPr="00D36C0C">
        <w:rPr>
          <w:rFonts w:ascii="Charter BT" w:hAnsi="Charter BT"/>
        </w:rPr>
        <w:t>’ve</w:t>
      </w:r>
      <w:r w:rsidR="004A5125" w:rsidRPr="00D36C0C">
        <w:rPr>
          <w:rFonts w:ascii="Charter BT" w:hAnsi="Charter BT"/>
        </w:rPr>
        <w:t xml:space="preserve"> clarif</w:t>
      </w:r>
      <w:r w:rsidR="00451347" w:rsidRPr="00D36C0C">
        <w:rPr>
          <w:rFonts w:ascii="Charter BT" w:hAnsi="Charter BT"/>
        </w:rPr>
        <w:t>ied</w:t>
      </w:r>
      <w:r w:rsidR="004A5125" w:rsidRPr="00D36C0C">
        <w:rPr>
          <w:rFonts w:ascii="Charter BT" w:hAnsi="Charter BT"/>
        </w:rPr>
        <w:t xml:space="preserve"> volumetric urban design in the Hong Kong context, focusing on its two defining features: the three-dimensional pedestrian network and the integration of metro stations (MTR) consistent with TOD principles. We acknowledge the importance of situating volumetric urban design within broader discussions of walkability and TOD. Our results confirm that multi-level </w:t>
      </w:r>
      <w:r w:rsidR="008E420A" w:rsidRPr="00D36C0C">
        <w:rPr>
          <w:rFonts w:ascii="Charter BT" w:hAnsi="Charter BT"/>
        </w:rPr>
        <w:t xml:space="preserve">pedestrian </w:t>
      </w:r>
      <w:r w:rsidR="004A5125" w:rsidRPr="00D36C0C">
        <w:rPr>
          <w:rFonts w:ascii="Charter BT" w:hAnsi="Charter BT"/>
        </w:rPr>
        <w:t>networks support both volumetric urban form and TOD functions.</w:t>
      </w:r>
      <w:r w:rsidR="00BD5DE9" w:rsidRPr="00D36C0C">
        <w:rPr>
          <w:rFonts w:ascii="Charter BT" w:hAnsi="Charter BT"/>
        </w:rPr>
        <w:t xml:space="preserve"> </w:t>
      </w:r>
      <w:r w:rsidR="004A5125" w:rsidRPr="00D36C0C">
        <w:rPr>
          <w:rFonts w:ascii="Charter BT" w:hAnsi="Charter BT"/>
        </w:rPr>
        <w:t xml:space="preserve">We have revised our analyses of three-dimensional </w:t>
      </w:r>
      <w:r w:rsidR="009941F3" w:rsidRPr="00D36C0C">
        <w:rPr>
          <w:rFonts w:ascii="Charter BT" w:hAnsi="Charter BT"/>
        </w:rPr>
        <w:t>metrics</w:t>
      </w:r>
      <w:r w:rsidR="004A5125" w:rsidRPr="00D36C0C">
        <w:rPr>
          <w:rFonts w:ascii="Charter BT" w:hAnsi="Charter BT"/>
        </w:rPr>
        <w:t xml:space="preserve"> and recognize that data access and processing remain significant challenges. Existing measures are often limited by restricted public access, geographical coverage, and inconsistencies across data sources, which hinder comparisons</w:t>
      </w:r>
      <w:r w:rsidR="006B0406" w:rsidRPr="00D36C0C">
        <w:rPr>
          <w:rFonts w:ascii="Charter BT" w:hAnsi="Charter BT"/>
        </w:rPr>
        <w:t xml:space="preserve"> and analysis</w:t>
      </w:r>
      <w:r w:rsidR="004A5125" w:rsidRPr="00D36C0C">
        <w:rPr>
          <w:rFonts w:ascii="Charter BT" w:hAnsi="Charter BT"/>
        </w:rPr>
        <w:t>. We examined how multi-level connections</w:t>
      </w:r>
      <w:r w:rsidR="007F3C19" w:rsidRPr="00D36C0C">
        <w:rPr>
          <w:rFonts w:ascii="Charter BT" w:hAnsi="Charter BT"/>
        </w:rPr>
        <w:t xml:space="preserve">, </w:t>
      </w:r>
      <w:r w:rsidR="004A5125" w:rsidRPr="00D36C0C">
        <w:rPr>
          <w:rFonts w:ascii="Charter BT" w:hAnsi="Charter BT"/>
        </w:rPr>
        <w:t>such as elevated, underground, and internal pedestrian networks</w:t>
      </w:r>
      <w:r w:rsidR="007F3C19" w:rsidRPr="00D36C0C">
        <w:rPr>
          <w:rFonts w:ascii="Charter BT" w:hAnsi="Charter BT"/>
        </w:rPr>
        <w:t xml:space="preserve">, </w:t>
      </w:r>
      <w:r w:rsidR="004A5125" w:rsidRPr="00D36C0C">
        <w:rPr>
          <w:rFonts w:ascii="Charter BT" w:hAnsi="Charter BT"/>
        </w:rPr>
        <w:lastRenderedPageBreak/>
        <w:t>contribute to complex spatial organization</w:t>
      </w:r>
      <w:r w:rsidR="00461704" w:rsidRPr="00D36C0C">
        <w:rPr>
          <w:rFonts w:ascii="Charter BT" w:hAnsi="Charter BT"/>
        </w:rPr>
        <w:t xml:space="preserve"> and </w:t>
      </w:r>
      <w:r w:rsidR="004A5125" w:rsidRPr="00D36C0C">
        <w:rPr>
          <w:rFonts w:ascii="Charter BT" w:hAnsi="Charter BT"/>
        </w:rPr>
        <w:t>support high-intensity volumetric design and TOD objectives.</w:t>
      </w:r>
    </w:p>
    <w:p w14:paraId="79AB1804" w14:textId="77777777" w:rsidR="0068673A" w:rsidRPr="00D36C0C" w:rsidRDefault="0068673A" w:rsidP="00E36C5B">
      <w:pPr>
        <w:jc w:val="both"/>
        <w:rPr>
          <w:rFonts w:ascii="Charter BT" w:hAnsi="Charter BT" w:hint="eastAsia"/>
        </w:rPr>
      </w:pPr>
    </w:p>
    <w:p w14:paraId="371497EC" w14:textId="77777777" w:rsidR="00534E97" w:rsidRPr="00D36C0C" w:rsidRDefault="00BA1B83" w:rsidP="00534E97">
      <w:pPr>
        <w:ind w:left="-426" w:firstLine="1135"/>
        <w:jc w:val="both"/>
        <w:rPr>
          <w:rFonts w:ascii="Charter BT" w:hAnsi="Charter BT" w:hint="eastAsia"/>
          <w:color w:val="5B9BD5" w:themeColor="accent5"/>
        </w:rPr>
      </w:pPr>
      <w:r w:rsidRPr="00D36C0C">
        <w:rPr>
          <w:rFonts w:ascii="Charter BT" w:hAnsi="Charter BT"/>
          <w:color w:val="5B9BD5" w:themeColor="accent5"/>
        </w:rPr>
        <w:t>“</w:t>
      </w:r>
      <w:r w:rsidR="00534E97" w:rsidRPr="00D36C0C">
        <w:rPr>
          <w:rFonts w:ascii="Charter BT" w:hAnsi="Charter BT"/>
          <w:color w:val="5B9BD5" w:themeColor="accent5"/>
        </w:rPr>
        <w:t>Using Hong Kong as the case city, this paper aims to measure the volumetric urban design, with a focus on compression, multi-level connectedness, and functional mix. The first defining feature of volumetric design is the integration of three-dimensional pedestrian networks that connect multiple layers both vertically and horizontally (Sun et al., 2021). Public sectors and private developers provide extensive elevated pedestrian systems with public access, increasing street connectivity, reducing detours, and facilitating smooth pedestrian movement among buildings (Tan &amp; QL Xue, 2014). This principle also underpins the urban design approach that creates highly connected, multi-layered, and internalised environments through the seamless integration of buildings, open spaces, and streets (Villani et al., 2022). Despite growing recognition of these multi-layered characteristics in high-density cities (Harris, 2015), most studies still rely on a figure-ground approach, focusing on mono-functional land plots, street centroid lines, or building footprints. Recent work has introduced new methods to capture the vertical complexity, such as function composition using cadastral data (Dovey &amp; Pafka, 2017), multi-scale density (Pafka, 2023), and compression via building volumes (Wang et al., 2022). However, these metrics are typically limited to small areas and lack broader applicability for cross-context comparisons. There remains a lack of a generalisable framework for understanding the principles and measuring the volumetric urban design.</w:t>
      </w:r>
    </w:p>
    <w:p w14:paraId="6FFF660D" w14:textId="3931ED42" w:rsidR="00421AD8" w:rsidRPr="00D36C0C" w:rsidRDefault="00534E97" w:rsidP="00534E97">
      <w:pPr>
        <w:ind w:left="-426" w:firstLine="1135"/>
        <w:jc w:val="both"/>
        <w:rPr>
          <w:rFonts w:ascii="Charter BT" w:hAnsi="Charter BT" w:hint="eastAsia"/>
          <w:color w:val="5B9BD5" w:themeColor="accent5"/>
        </w:rPr>
      </w:pPr>
      <w:r w:rsidRPr="00D36C0C">
        <w:rPr>
          <w:rFonts w:ascii="Charter BT" w:hAnsi="Charter BT"/>
          <w:color w:val="5B9BD5" w:themeColor="accent5"/>
        </w:rPr>
        <w:t xml:space="preserve">The second defining feature of volumetric urban design in Hong Kong is the integration of the Mass Transit Railway (MTR) system, which follows transit-oriented development (TOD) principles. Hong Kong’s reliance on the metro system is evident: nearly half the population lives within 500 metres of a station, and 70% of riders walk to and from the metro, contributing to an average daily ridership of 4.69 million (Sun et al., 2021). This TOD approach promotes high density, mixed land use, and enhanced connectivity within station catchment areas. In addition, seamless integration of pedestrian networks with metro stations connects multi-level urban interfaces, supporting both mobility and urban cohesion (Villani et al., 2022). The expansion of underground and elevated spaces enables the vertical stacking of urban functions, creating environments that extend above and below ground (Zacharias &amp; He, 2018; Zhang &amp; Chiaradia, 2022).  Metro stations are directly linked to commercial complexes and residential towers through a comprehensive three-dimensional pedestrian network, including footbridges, tunnels, elevators, and escalators. Elevated and underground walkways connect podiums, shopping malls, and towers, generating large, multi-layered volumes and enhancing walkability. Many internal spaces, privately owned yet publicly accessible, are integrated with metro stations, providing climate-controlled, open spaces that serve both commuters and the public (Shelton et al., 2013). The ongoing expansion of the metro and its integration with property </w:t>
      </w:r>
      <w:r w:rsidRPr="00D36C0C">
        <w:rPr>
          <w:rFonts w:ascii="Charter BT" w:hAnsi="Charter BT"/>
          <w:color w:val="5B9BD5" w:themeColor="accent5"/>
        </w:rPr>
        <w:lastRenderedPageBreak/>
        <w:t>developments has fostered creative, pedestrian-oriented urban design, making three-dimensional connectivity a hallmark of the city’s design fabric. However, the complex interactions between multi-level connections, spatial organisation, and TOD in the volumetric design warrant further investigation</w:t>
      </w:r>
      <w:r w:rsidR="007F22E6" w:rsidRPr="00D36C0C">
        <w:rPr>
          <w:rFonts w:ascii="Charter BT" w:hAnsi="Charter BT"/>
          <w:color w:val="5B9BD5" w:themeColor="accent5"/>
        </w:rPr>
        <w:t xml:space="preserve"> </w:t>
      </w:r>
      <w:r w:rsidR="00AF235E" w:rsidRPr="00D36C0C">
        <w:rPr>
          <w:rFonts w:ascii="Charter BT" w:hAnsi="Charter BT"/>
          <w:color w:val="5B9BD5" w:themeColor="accent5"/>
        </w:rPr>
        <w:t xml:space="preserve">(Line </w:t>
      </w:r>
      <w:r w:rsidR="00D70AE1" w:rsidRPr="00D36C0C">
        <w:rPr>
          <w:rFonts w:ascii="Charter BT" w:hAnsi="Charter BT"/>
          <w:color w:val="5B9BD5" w:themeColor="accent5"/>
        </w:rPr>
        <w:t>5</w:t>
      </w:r>
      <w:r w:rsidRPr="00D36C0C">
        <w:rPr>
          <w:rFonts w:ascii="Charter BT" w:hAnsi="Charter BT"/>
          <w:color w:val="5B9BD5" w:themeColor="accent5"/>
        </w:rPr>
        <w:t>4</w:t>
      </w:r>
      <w:r w:rsidR="00AF235E" w:rsidRPr="00D36C0C">
        <w:rPr>
          <w:rFonts w:ascii="Charter BT" w:hAnsi="Charter BT"/>
          <w:color w:val="5B9BD5" w:themeColor="accent5"/>
        </w:rPr>
        <w:t>-</w:t>
      </w:r>
      <w:r w:rsidRPr="00D36C0C">
        <w:rPr>
          <w:rFonts w:ascii="Charter BT" w:hAnsi="Charter BT"/>
          <w:color w:val="5B9BD5" w:themeColor="accent5"/>
        </w:rPr>
        <w:t>90</w:t>
      </w:r>
      <w:r w:rsidR="00AF235E" w:rsidRPr="00D36C0C">
        <w:rPr>
          <w:rFonts w:ascii="Charter BT" w:hAnsi="Charter BT"/>
          <w:color w:val="5B9BD5" w:themeColor="accent5"/>
        </w:rPr>
        <w:t>)</w:t>
      </w:r>
      <w:r w:rsidR="001C14E4" w:rsidRPr="00D36C0C">
        <w:rPr>
          <w:rFonts w:ascii="Charter BT" w:hAnsi="Charter BT"/>
          <w:color w:val="5B9BD5" w:themeColor="accent5"/>
        </w:rPr>
        <w:t>.”</w:t>
      </w:r>
    </w:p>
    <w:p w14:paraId="2CDB353E" w14:textId="38DDD99B" w:rsidR="00B466FD" w:rsidRPr="00D36C0C" w:rsidRDefault="00213CFE" w:rsidP="00213CFE">
      <w:pPr>
        <w:jc w:val="both"/>
        <w:rPr>
          <w:rFonts w:ascii="Charter BT" w:hAnsi="Charter BT" w:cs="Cambria" w:hint="eastAsia"/>
        </w:rPr>
      </w:pPr>
      <w:r w:rsidRPr="00D36C0C">
        <w:rPr>
          <w:rFonts w:ascii="Charter BT" w:hAnsi="Charter BT"/>
        </w:rPr>
        <w:br/>
      </w:r>
      <w:r w:rsidR="00B42199" w:rsidRPr="00D36C0C">
        <w:rPr>
          <w:rFonts w:ascii="Charter BT" w:hAnsi="Charter BT"/>
        </w:rPr>
        <w:t xml:space="preserve">3. </w:t>
      </w:r>
      <w:r w:rsidRPr="00D36C0C">
        <w:rPr>
          <w:rFonts w:ascii="Charter BT" w:hAnsi="Charter BT"/>
        </w:rPr>
        <w:t>Without articulate</w:t>
      </w:r>
      <w:r w:rsidR="008813E3" w:rsidRPr="00D36C0C">
        <w:rPr>
          <w:rFonts w:ascii="Charter BT" w:hAnsi="Charter BT"/>
        </w:rPr>
        <w:t>d</w:t>
      </w:r>
      <w:r w:rsidRPr="00D36C0C">
        <w:rPr>
          <w:rFonts w:ascii="Charter BT" w:hAnsi="Charter BT"/>
        </w:rPr>
        <w:t xml:space="preserve"> research gaps</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questions, many analyses</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discussions result in the verification of common-sense knowledge or experience. For example, the comparison between the proposed measures</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the so-called figure-ground measures is banal. It is obvious that urban density, mix,</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access will of course be underestimated or distorted if we do not count the pedestrian bridges</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underground paths in-between buildings. This is one of the cases pointing to a convoluted research question: what on earth has caused the pain: the conceptual framework, methods, data, or something else?</w:t>
      </w:r>
    </w:p>
    <w:p w14:paraId="6A845DA7" w14:textId="77777777" w:rsidR="00C6625D" w:rsidRPr="00D36C0C" w:rsidRDefault="00C6625D" w:rsidP="00213CFE">
      <w:pPr>
        <w:jc w:val="both"/>
        <w:rPr>
          <w:rFonts w:ascii="Charter BT" w:hAnsi="Charter BT" w:hint="eastAsia"/>
        </w:rPr>
      </w:pPr>
    </w:p>
    <w:p w14:paraId="264BD451" w14:textId="7F45B496" w:rsidR="005A2480" w:rsidRPr="00D36C0C" w:rsidRDefault="00B466FD" w:rsidP="00E36C5B">
      <w:pPr>
        <w:jc w:val="both"/>
        <w:rPr>
          <w:rFonts w:ascii="Charter BT" w:hAnsi="Charter BT" w:hint="eastAsia"/>
        </w:rPr>
      </w:pPr>
      <w:r w:rsidRPr="00D36C0C">
        <w:rPr>
          <w:rFonts w:ascii="Charter BT" w:hAnsi="Charter BT"/>
          <w:b/>
          <w:bCs/>
        </w:rPr>
        <w:t>Response:</w:t>
      </w:r>
      <w:r w:rsidR="004449EC" w:rsidRPr="00D36C0C">
        <w:rPr>
          <w:rFonts w:ascii="Charter BT" w:hAnsi="Charter BT"/>
        </w:rPr>
        <w:t xml:space="preserve"> </w:t>
      </w:r>
      <w:r w:rsidR="00E31494" w:rsidRPr="00D36C0C">
        <w:rPr>
          <w:rFonts w:ascii="Charter BT" w:hAnsi="Charter BT"/>
        </w:rPr>
        <w:t xml:space="preserve">Thank you for your comments. We believe that clarifying the two defining features of volumetric urban design in Hong Kong—3D pedestrian networks and metro stations—has strengthened our conceptual framing. This also makes our method comparison, with and without pedestrian network connections, a meaningful validation of the proposed approach. Access to fine-grained data, especially 3D pedestrian networks and building-level POIs, has improved the robustness of our measures. </w:t>
      </w:r>
      <w:r w:rsidR="005A2480" w:rsidRPr="00D36C0C">
        <w:rPr>
          <w:rFonts w:ascii="Charter BT" w:hAnsi="Charter BT"/>
        </w:rPr>
        <w:t>Following this reframing, o</w:t>
      </w:r>
      <w:r w:rsidR="00E31494" w:rsidRPr="00D36C0C">
        <w:rPr>
          <w:rFonts w:ascii="Charter BT" w:hAnsi="Charter BT"/>
        </w:rPr>
        <w:t>ur results show that functional mix and connectedness are significantly underestimated when using two-dimensional datasets, while urban density distortion is relatively minor. In some areas, up to half of the connectedness is missed in conventional analyses. Understanding where and to what extent underestimation occurs highlights areas most affected by these limitations. These findings underscore the value of applying this new approach in other Asian cities and provide a solid empirical foundation for our 3D measures, enhancing understanding of their strengths across various urban aspects.</w:t>
      </w:r>
      <w:r w:rsidR="005A2480" w:rsidRPr="00D36C0C">
        <w:rPr>
          <w:rFonts w:ascii="Charter BT" w:hAnsi="Charter BT"/>
        </w:rPr>
        <w:t xml:space="preserve"> </w:t>
      </w:r>
    </w:p>
    <w:p w14:paraId="68C632DA" w14:textId="535E82E5" w:rsidR="007C6580" w:rsidRPr="00D36C0C" w:rsidRDefault="00E31494" w:rsidP="007C6580">
      <w:pPr>
        <w:ind w:left="-426" w:firstLine="426"/>
        <w:jc w:val="both"/>
        <w:rPr>
          <w:rFonts w:ascii="Charter BT" w:hAnsi="Charter BT" w:hint="eastAsia"/>
        </w:rPr>
      </w:pPr>
      <w:r w:rsidRPr="00D36C0C">
        <w:rPr>
          <w:rFonts w:ascii="Charter BT" w:hAnsi="Charter BT"/>
        </w:rPr>
        <w:t>In the revised manuscript, we condensed the compar</w:t>
      </w:r>
      <w:r w:rsidR="005A2480" w:rsidRPr="00D36C0C">
        <w:rPr>
          <w:rFonts w:ascii="Charter BT" w:hAnsi="Charter BT"/>
        </w:rPr>
        <w:t>is</w:t>
      </w:r>
      <w:r w:rsidRPr="00D36C0C">
        <w:rPr>
          <w:rFonts w:ascii="Charter BT" w:hAnsi="Charter BT"/>
        </w:rPr>
        <w:t>on section to the “evaluating the measure section”:</w:t>
      </w:r>
      <w:r w:rsidR="007C6580" w:rsidRPr="00D36C0C">
        <w:rPr>
          <w:rFonts w:ascii="Charter BT" w:hAnsi="Charter BT"/>
        </w:rPr>
        <w:t xml:space="preserve"> We need to know how proposed measures outperform two-dimensional indicators and work as benchmarks in representing volumetric urban design. The intensity of compression, connectedness, and functional mix depend on capturing three-dimensional information, such as multi-level networks and floor-based information (e.g., networks, building floors, and floor-level functions). We examine the measures with and without three-dimensional information (e.g., ground-floor networks, building footprint, and mono-functional building) on the study sites. Examination of the change in the measures can verify the bias of two-dimensional measures (Line 326-332).</w:t>
      </w:r>
    </w:p>
    <w:p w14:paraId="56FBDDD5" w14:textId="1699C6F0" w:rsidR="00E31494" w:rsidRPr="00D36C0C" w:rsidRDefault="00E31494" w:rsidP="00E31494">
      <w:pPr>
        <w:jc w:val="both"/>
        <w:rPr>
          <w:rFonts w:ascii="Charter BT" w:hAnsi="Charter BT" w:hint="eastAsia"/>
          <w:color w:val="000000" w:themeColor="text1"/>
        </w:rPr>
      </w:pPr>
    </w:p>
    <w:p w14:paraId="1B8D1EF1" w14:textId="77777777" w:rsidR="00E31494" w:rsidRPr="00D36C0C" w:rsidRDefault="00E31494" w:rsidP="00E36C5B">
      <w:pPr>
        <w:ind w:left="-426" w:firstLine="1135"/>
        <w:jc w:val="both"/>
        <w:rPr>
          <w:rFonts w:ascii="Charter BT" w:hAnsi="Charter BT" w:hint="eastAsia"/>
        </w:rPr>
      </w:pPr>
    </w:p>
    <w:p w14:paraId="2D1DB89F" w14:textId="77777777" w:rsidR="007546D2" w:rsidRPr="00D36C0C" w:rsidRDefault="00213CFE" w:rsidP="007546D2">
      <w:pPr>
        <w:ind w:left="-426" w:firstLine="426"/>
        <w:jc w:val="both"/>
        <w:rPr>
          <w:rFonts w:ascii="Charter BT" w:hAnsi="Charter BT" w:hint="eastAsia"/>
        </w:rPr>
      </w:pPr>
      <w:r w:rsidRPr="00D36C0C">
        <w:rPr>
          <w:rFonts w:ascii="Charter BT" w:hAnsi="Charter BT"/>
        </w:rPr>
        <w:br/>
      </w:r>
      <w:r w:rsidR="00B42199" w:rsidRPr="00D36C0C">
        <w:rPr>
          <w:rFonts w:ascii="Charter BT" w:hAnsi="Charter BT"/>
        </w:rPr>
        <w:t xml:space="preserve">4. </w:t>
      </w:r>
      <w:r w:rsidRPr="00D36C0C">
        <w:rPr>
          <w:rFonts w:ascii="Charter BT" w:hAnsi="Charter BT"/>
        </w:rPr>
        <w:t>In addition, below are some minor but crucial issues to tackle:</w:t>
      </w:r>
      <w:r w:rsidRPr="00D36C0C">
        <w:rPr>
          <w:rFonts w:ascii="Charter BT" w:hAnsi="Charter BT"/>
        </w:rPr>
        <w:br/>
        <w:t>A more critical reflection upon POI data is required, especially this research is built on a more detailed measure for 3D urban systems. POI data are not essentially more fine-grained than traditional cadastral</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census data (e.g., the CLUE dataset established by the City of Melbourne). POI data are subject to processing methods</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classifications with a lack of open scientific scrutiny or examination, while being accessible by far. Cadastral</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census data are often collected, prepared,</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cleaned by professional teams or branches of public governments; however, they are not easily accessible by the public (e.g., the cadastral data, the census data at the level of each household, tenant, establishment, or building).</w:t>
      </w:r>
    </w:p>
    <w:p w14:paraId="162919B2" w14:textId="3CB955CF" w:rsidR="00E145CC" w:rsidRPr="00D36C0C" w:rsidRDefault="001E6044" w:rsidP="007546D2">
      <w:pPr>
        <w:ind w:left="-426" w:firstLine="426"/>
        <w:jc w:val="both"/>
        <w:rPr>
          <w:rFonts w:ascii="Charter BT" w:hAnsi="Charter BT" w:hint="eastAsia"/>
        </w:rPr>
      </w:pPr>
      <w:r w:rsidRPr="00D36C0C">
        <w:rPr>
          <w:rFonts w:ascii="Charter BT" w:hAnsi="Charter BT"/>
        </w:rPr>
        <w:t>When introducing the two cases, it is important to first state the selection criteria according to the research question</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0021571E" w:rsidRPr="00D36C0C">
        <w:rPr>
          <w:rFonts w:ascii="Charter BT" w:hAnsi="Charter BT"/>
        </w:rPr>
        <w:t>design and</w:t>
      </w:r>
      <w:r w:rsidRPr="00D36C0C">
        <w:rPr>
          <w:rFonts w:ascii="Charter BT" w:hAnsi="Charter BT" w:cs="Cambria"/>
        </w:rPr>
        <w:t> </w:t>
      </w:r>
      <w:r w:rsidRPr="00D36C0C">
        <w:rPr>
          <w:rFonts w:ascii="Charter BT" w:hAnsi="Charter BT"/>
        </w:rPr>
        <w:t>then describe how the selected cases fit these criteria</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why others are excluded.</w:t>
      </w:r>
    </w:p>
    <w:p w14:paraId="029183ED" w14:textId="0FFCD003" w:rsidR="00DE2969" w:rsidRPr="00D36C0C" w:rsidRDefault="00DE2969" w:rsidP="00213CFE">
      <w:pPr>
        <w:jc w:val="both"/>
        <w:rPr>
          <w:rFonts w:ascii="Charter BT" w:hAnsi="Charter BT" w:hint="eastAsia"/>
        </w:rPr>
      </w:pPr>
    </w:p>
    <w:p w14:paraId="51E7792A" w14:textId="409EA2F7" w:rsidR="00DE2969" w:rsidRPr="00D36C0C" w:rsidRDefault="00DE2969" w:rsidP="00E36C5B">
      <w:pPr>
        <w:jc w:val="both"/>
        <w:rPr>
          <w:rFonts w:ascii="Charter BT" w:hAnsi="Charter BT" w:hint="eastAsia"/>
        </w:rPr>
      </w:pPr>
      <w:r w:rsidRPr="00D36C0C">
        <w:rPr>
          <w:rFonts w:ascii="Charter BT" w:hAnsi="Charter BT"/>
          <w:b/>
          <w:bCs/>
        </w:rPr>
        <w:t>Response:</w:t>
      </w:r>
      <w:r w:rsidR="00E04022" w:rsidRPr="00D36C0C">
        <w:rPr>
          <w:rFonts w:ascii="Charter BT" w:hAnsi="Charter BT"/>
          <w:b/>
          <w:bCs/>
        </w:rPr>
        <w:t xml:space="preserve"> </w:t>
      </w:r>
      <w:r w:rsidR="00E04022" w:rsidRPr="00D36C0C">
        <w:rPr>
          <w:rFonts w:ascii="Charter BT" w:hAnsi="Charter BT"/>
        </w:rPr>
        <w:t>Thank you for the comments.</w:t>
      </w:r>
      <w:r w:rsidRPr="00D36C0C">
        <w:rPr>
          <w:rFonts w:ascii="Charter BT" w:hAnsi="Charter BT"/>
        </w:rPr>
        <w:t xml:space="preserve"> </w:t>
      </w:r>
      <w:r w:rsidR="008322D4" w:rsidRPr="00D36C0C">
        <w:rPr>
          <w:rFonts w:ascii="Charter BT" w:hAnsi="Charter BT"/>
        </w:rPr>
        <w:t xml:space="preserve">POI data differs from cadastral or census data. </w:t>
      </w:r>
      <w:r w:rsidR="003170CB" w:rsidRPr="00D36C0C">
        <w:rPr>
          <w:rFonts w:ascii="Charter BT" w:hAnsi="Charter BT"/>
        </w:rPr>
        <w:t>If our contextual information is correct, w</w:t>
      </w:r>
      <w:r w:rsidR="008322D4" w:rsidRPr="00D36C0C">
        <w:rPr>
          <w:rFonts w:ascii="Charter BT" w:hAnsi="Charter BT"/>
        </w:rPr>
        <w:t xml:space="preserve">hile cadastral data records </w:t>
      </w:r>
      <w:r w:rsidR="00194FD1" w:rsidRPr="00D36C0C">
        <w:rPr>
          <w:rFonts w:ascii="Charter BT" w:hAnsi="Charter BT"/>
        </w:rPr>
        <w:t xml:space="preserve">the </w:t>
      </w:r>
      <w:r w:rsidR="008322D4" w:rsidRPr="00D36C0C">
        <w:rPr>
          <w:rFonts w:ascii="Charter BT" w:hAnsi="Charter BT"/>
        </w:rPr>
        <w:t xml:space="preserve">legal aspects of land parcels—such as boundaries, ownership, and rights—our study focuses on spatial layout and boundaries, </w:t>
      </w:r>
      <w:r w:rsidR="00194FD1" w:rsidRPr="00D36C0C">
        <w:rPr>
          <w:rFonts w:ascii="Charter BT" w:hAnsi="Charter BT"/>
        </w:rPr>
        <w:t>rather than</w:t>
      </w:r>
      <w:r w:rsidR="008322D4" w:rsidRPr="00D36C0C">
        <w:rPr>
          <w:rFonts w:ascii="Charter BT" w:hAnsi="Charter BT"/>
        </w:rPr>
        <w:t xml:space="preserve"> legal data.</w:t>
      </w:r>
      <w:r w:rsidR="001F3F8F" w:rsidRPr="00D36C0C">
        <w:rPr>
          <w:rFonts w:ascii="Charter BT" w:hAnsi="Charter BT"/>
        </w:rPr>
        <w:t xml:space="preserve"> </w:t>
      </w:r>
      <w:r w:rsidR="008322D4" w:rsidRPr="00D36C0C">
        <w:rPr>
          <w:rFonts w:ascii="Charter BT" w:hAnsi="Charter BT"/>
        </w:rPr>
        <w:t>Fine-scale POI data from commercial mapping companies, commonly used for navigation</w:t>
      </w:r>
      <w:r w:rsidR="00BE742B" w:rsidRPr="00D36C0C">
        <w:rPr>
          <w:rFonts w:ascii="Charter BT" w:hAnsi="Charter BT"/>
        </w:rPr>
        <w:t xml:space="preserve"> (if this is navigation, it must be able to lead people there)</w:t>
      </w:r>
      <w:r w:rsidR="00C3729F" w:rsidRPr="00D36C0C">
        <w:rPr>
          <w:rFonts w:ascii="Charter BT" w:hAnsi="Charter BT"/>
        </w:rPr>
        <w:t>; we are not saying the data is perfect in accuracy, but it</w:t>
      </w:r>
      <w:r w:rsidR="008322D4" w:rsidRPr="00D36C0C">
        <w:rPr>
          <w:rFonts w:ascii="Charter BT" w:hAnsi="Charter BT"/>
        </w:rPr>
        <w:t xml:space="preserve"> has proven credible and offers strong potential for identifying functional mix and floor-based uses. Major map providers</w:t>
      </w:r>
      <w:r w:rsidR="00A150B6" w:rsidRPr="00D36C0C">
        <w:rPr>
          <w:rFonts w:ascii="Charter BT" w:hAnsi="Charter BT"/>
        </w:rPr>
        <w:t>,</w:t>
      </w:r>
      <w:r w:rsidR="008322D4" w:rsidRPr="00D36C0C">
        <w:rPr>
          <w:rFonts w:ascii="Charter BT" w:hAnsi="Charter BT"/>
        </w:rPr>
        <w:t xml:space="preserve"> </w:t>
      </w:r>
      <w:r w:rsidR="00A150B6" w:rsidRPr="00D36C0C">
        <w:rPr>
          <w:rFonts w:ascii="Charter BT" w:hAnsi="Charter BT"/>
        </w:rPr>
        <w:t>such as</w:t>
      </w:r>
      <w:r w:rsidR="008322D4" w:rsidRPr="00D36C0C">
        <w:rPr>
          <w:rFonts w:ascii="Charter BT" w:hAnsi="Charter BT"/>
        </w:rPr>
        <w:t xml:space="preserve"> Google and Gaode</w:t>
      </w:r>
      <w:r w:rsidR="00B6498F" w:rsidRPr="00D36C0C">
        <w:rPr>
          <w:rFonts w:ascii="Charter BT" w:hAnsi="Charter BT"/>
        </w:rPr>
        <w:t xml:space="preserve"> (</w:t>
      </w:r>
      <w:r w:rsidR="00FE58F2" w:rsidRPr="00D36C0C">
        <w:rPr>
          <w:rFonts w:ascii="Charter BT" w:hAnsi="Charter BT"/>
        </w:rPr>
        <w:t xml:space="preserve">a </w:t>
      </w:r>
      <w:r w:rsidR="00B6498F" w:rsidRPr="00D36C0C">
        <w:rPr>
          <w:rFonts w:ascii="Charter BT" w:hAnsi="Charter BT"/>
        </w:rPr>
        <w:t>local mapping firm)</w:t>
      </w:r>
      <w:r w:rsidR="00A150B6" w:rsidRPr="00D36C0C">
        <w:rPr>
          <w:rFonts w:ascii="Charter BT" w:hAnsi="Charter BT"/>
        </w:rPr>
        <w:t>,</w:t>
      </w:r>
      <w:r w:rsidR="008322D4" w:rsidRPr="00D36C0C">
        <w:rPr>
          <w:rFonts w:ascii="Charter BT" w:hAnsi="Charter BT"/>
        </w:rPr>
        <w:t xml:space="preserve"> supply extensive POI data, making it a valuable resource for this type of analysis. In this study, we performed some cross-source validation and corrected data locations to ensure quality. U</w:t>
      </w:r>
      <w:r w:rsidR="00616204" w:rsidRPr="00D36C0C">
        <w:rPr>
          <w:rFonts w:ascii="Charter BT" w:hAnsi="Charter BT"/>
        </w:rPr>
        <w:t xml:space="preserve">sing POI data has the potential to be applied </w:t>
      </w:r>
      <w:r w:rsidR="009779A5" w:rsidRPr="00D36C0C">
        <w:rPr>
          <w:rFonts w:ascii="Charter BT" w:hAnsi="Charter BT"/>
        </w:rPr>
        <w:t>to</w:t>
      </w:r>
      <w:r w:rsidR="00616204" w:rsidRPr="00D36C0C">
        <w:rPr>
          <w:rFonts w:ascii="Charter BT" w:hAnsi="Charter BT"/>
        </w:rPr>
        <w:t xml:space="preserve"> different cities</w:t>
      </w:r>
      <w:r w:rsidR="00F53A33" w:rsidRPr="00D36C0C">
        <w:rPr>
          <w:rFonts w:ascii="Charter BT" w:hAnsi="Charter BT"/>
        </w:rPr>
        <w:t>,</w:t>
      </w:r>
      <w:r w:rsidR="00616204" w:rsidRPr="00D36C0C">
        <w:rPr>
          <w:rFonts w:ascii="Charter BT" w:hAnsi="Charter BT"/>
        </w:rPr>
        <w:t xml:space="preserve"> </w:t>
      </w:r>
      <w:r w:rsidR="00F53A33" w:rsidRPr="00D36C0C">
        <w:rPr>
          <w:rFonts w:ascii="Charter BT" w:hAnsi="Charter BT"/>
        </w:rPr>
        <w:t>enabling</w:t>
      </w:r>
      <w:r w:rsidR="00616204" w:rsidRPr="00D36C0C">
        <w:rPr>
          <w:rFonts w:ascii="Charter BT" w:hAnsi="Charter BT"/>
        </w:rPr>
        <w:t xml:space="preserve"> cross-context comparisons of functional mix measurement</w:t>
      </w:r>
      <w:r w:rsidR="005849E1" w:rsidRPr="00D36C0C">
        <w:rPr>
          <w:rFonts w:ascii="Charter BT" w:hAnsi="Charter BT"/>
        </w:rPr>
        <w:t>s</w:t>
      </w:r>
      <w:r w:rsidR="00616204" w:rsidRPr="00D36C0C">
        <w:rPr>
          <w:rFonts w:ascii="Charter BT" w:hAnsi="Charter BT"/>
        </w:rPr>
        <w:t>.</w:t>
      </w:r>
    </w:p>
    <w:p w14:paraId="756C24A9" w14:textId="77777777" w:rsidR="009779A5" w:rsidRPr="00D36C0C" w:rsidRDefault="009779A5" w:rsidP="00D17965">
      <w:pPr>
        <w:ind w:left="-426" w:firstLine="426"/>
        <w:jc w:val="both"/>
        <w:rPr>
          <w:rFonts w:ascii="Charter BT" w:hAnsi="Charter BT" w:hint="eastAsia"/>
        </w:rPr>
      </w:pPr>
    </w:p>
    <w:p w14:paraId="44B646EF" w14:textId="682BC225" w:rsidR="00A91882" w:rsidRPr="00D36C0C" w:rsidRDefault="00B63FF3" w:rsidP="00921A42">
      <w:pPr>
        <w:ind w:left="-426" w:firstLine="426"/>
        <w:jc w:val="both"/>
        <w:rPr>
          <w:rFonts w:ascii="Charter BT" w:hAnsi="Charter BT" w:hint="eastAsia"/>
        </w:rPr>
      </w:pPr>
      <w:r w:rsidRPr="00D36C0C">
        <w:rPr>
          <w:rFonts w:ascii="Charter BT" w:hAnsi="Charter BT"/>
        </w:rPr>
        <w:t xml:space="preserve">In the revised paper, we </w:t>
      </w:r>
      <w:r w:rsidR="00A91882" w:rsidRPr="00D36C0C">
        <w:rPr>
          <w:rFonts w:ascii="Charter BT" w:hAnsi="Charter BT"/>
        </w:rPr>
        <w:t xml:space="preserve">have revised the </w:t>
      </w:r>
      <w:r w:rsidR="00E37E62" w:rsidRPr="00D36C0C">
        <w:rPr>
          <w:rFonts w:ascii="Charter BT" w:hAnsi="Charter BT"/>
        </w:rPr>
        <w:t xml:space="preserve">section on </w:t>
      </w:r>
      <w:r w:rsidR="00A91882" w:rsidRPr="00D36C0C">
        <w:rPr>
          <w:rFonts w:ascii="Charter BT" w:hAnsi="Charter BT"/>
        </w:rPr>
        <w:t xml:space="preserve">site selection. The primary reasons for our site selection were the representativeness of volumetric </w:t>
      </w:r>
      <w:r w:rsidR="00E37E62" w:rsidRPr="00D36C0C">
        <w:rPr>
          <w:rFonts w:ascii="Charter BT" w:hAnsi="Charter BT"/>
        </w:rPr>
        <w:t>urban</w:t>
      </w:r>
      <w:r w:rsidR="00E37E62" w:rsidRPr="00D36C0C">
        <w:rPr>
          <w:rFonts w:ascii="Charter BT" w:hAnsi="Charter BT"/>
          <w:lang w:val="en-US"/>
        </w:rPr>
        <w:t xml:space="preserve"> design (featured by 3D pedestrian network and metro stations)</w:t>
      </w:r>
      <w:r w:rsidR="00A91882" w:rsidRPr="00D36C0C">
        <w:rPr>
          <w:rFonts w:ascii="Charter BT" w:hAnsi="Charter BT"/>
        </w:rPr>
        <w:t xml:space="preserve">. Our aim was to choose sites that exemplify these characteristics </w:t>
      </w:r>
      <w:r w:rsidR="00E7172F" w:rsidRPr="00D36C0C">
        <w:rPr>
          <w:rFonts w:ascii="Charter BT" w:hAnsi="Charter BT"/>
        </w:rPr>
        <w:t>to</w:t>
      </w:r>
      <w:r w:rsidR="00A91882" w:rsidRPr="00D36C0C">
        <w:rPr>
          <w:rFonts w:ascii="Charter BT" w:hAnsi="Charter BT"/>
        </w:rPr>
        <w:t xml:space="preserve"> test the robustness and generalisability of </w:t>
      </w:r>
      <w:r w:rsidR="00E7172F" w:rsidRPr="00D36C0C">
        <w:rPr>
          <w:rFonts w:ascii="Charter BT" w:hAnsi="Charter BT"/>
        </w:rPr>
        <w:t>our 3D measures</w:t>
      </w:r>
      <w:r w:rsidR="00A91882" w:rsidRPr="00D36C0C">
        <w:rPr>
          <w:rFonts w:ascii="Charter BT" w:hAnsi="Charter BT"/>
        </w:rPr>
        <w:t xml:space="preserve">. </w:t>
      </w:r>
    </w:p>
    <w:p w14:paraId="011FF4B1" w14:textId="56E7CC2B" w:rsidR="005975A3" w:rsidRPr="00D36C0C" w:rsidRDefault="005975A3" w:rsidP="005975A3">
      <w:pPr>
        <w:ind w:left="-426" w:firstLine="1135"/>
        <w:jc w:val="both"/>
        <w:rPr>
          <w:rFonts w:ascii="Charter BT" w:hAnsi="Charter BT" w:hint="eastAsia"/>
          <w:color w:val="5B9BD5" w:themeColor="accent5"/>
        </w:rPr>
      </w:pPr>
      <w:r w:rsidRPr="00D36C0C">
        <w:rPr>
          <w:rFonts w:ascii="Charter BT" w:hAnsi="Charter BT"/>
          <w:color w:val="5B9BD5" w:themeColor="accent5"/>
        </w:rPr>
        <w:t>“</w:t>
      </w:r>
      <w:bookmarkStart w:id="1" w:name="_Hlk203488720"/>
      <w:r w:rsidR="007C6580" w:rsidRPr="00D36C0C">
        <w:rPr>
          <w:rFonts w:ascii="Charter BT" w:hAnsi="Charter BT"/>
          <w:color w:val="5B9BD5" w:themeColor="accent5"/>
        </w:rPr>
        <w:t xml:space="preserve">Hong Kong is a high-density city, with built-up areas exceeding 20,000 people per square kilometre (Census and Statistics Department of Hong Kong, 2024). Renowned for its TOD practice, the city has over 100 metro stations, with most urban development situated nearby. To develop and test our measures, we selected Central </w:t>
      </w:r>
      <w:r w:rsidR="007C6580" w:rsidRPr="00D36C0C">
        <w:rPr>
          <w:rFonts w:ascii="Charter BT" w:hAnsi="Charter BT"/>
          <w:color w:val="5B9BD5" w:themeColor="accent5"/>
        </w:rPr>
        <w:lastRenderedPageBreak/>
        <w:t>and Tsim Sha Tsui (TST) as study sites (Fig. S1). We aimed to develop operationalizable and generalizable measures using fine-grained, open-access data to capture volumetric urban design, rather than applying these measures broadly for comparison across multiple areas. Central and TST were chosen as typical cases for their varied historical development, diverse building forms (e.g., from colonial-era structures to modern high-rises on reclaimed land), representative volumetric design (e.g., extension of networks in three dimensions), and the implementation of TOD concepts</w:t>
      </w:r>
      <w:r w:rsidR="00CA0E7C" w:rsidRPr="00D36C0C">
        <w:rPr>
          <w:rFonts w:ascii="Charter BT" w:hAnsi="Charter BT"/>
          <w:color w:val="5B9BD5" w:themeColor="accent5"/>
        </w:rPr>
        <w:t xml:space="preserve"> </w:t>
      </w:r>
      <w:r w:rsidR="00143F58" w:rsidRPr="00D36C0C">
        <w:rPr>
          <w:rFonts w:ascii="Charter BT" w:hAnsi="Charter BT"/>
          <w:color w:val="5B9BD5" w:themeColor="accent5"/>
        </w:rPr>
        <w:t xml:space="preserve">(Line </w:t>
      </w:r>
      <w:r w:rsidR="007C6580" w:rsidRPr="00D36C0C">
        <w:rPr>
          <w:rFonts w:ascii="Charter BT" w:hAnsi="Charter BT"/>
          <w:color w:val="5B9BD5" w:themeColor="accent5"/>
        </w:rPr>
        <w:t>197</w:t>
      </w:r>
      <w:r w:rsidR="00143F58" w:rsidRPr="00D36C0C">
        <w:rPr>
          <w:rFonts w:ascii="Charter BT" w:hAnsi="Charter BT"/>
          <w:color w:val="5B9BD5" w:themeColor="accent5"/>
        </w:rPr>
        <w:t>-2</w:t>
      </w:r>
      <w:r w:rsidR="007C6580" w:rsidRPr="00D36C0C">
        <w:rPr>
          <w:rFonts w:ascii="Charter BT" w:hAnsi="Charter BT"/>
          <w:color w:val="5B9BD5" w:themeColor="accent5"/>
        </w:rPr>
        <w:t>06</w:t>
      </w:r>
      <w:r w:rsidR="00143F58" w:rsidRPr="00D36C0C">
        <w:rPr>
          <w:rFonts w:ascii="Charter BT" w:hAnsi="Charter BT"/>
          <w:color w:val="5B9BD5" w:themeColor="accent5"/>
        </w:rPr>
        <w:t>)</w:t>
      </w:r>
      <w:r w:rsidRPr="00D36C0C">
        <w:rPr>
          <w:rFonts w:ascii="Charter BT" w:hAnsi="Charter BT"/>
          <w:color w:val="5B9BD5" w:themeColor="accent5"/>
        </w:rPr>
        <w:t>.</w:t>
      </w:r>
      <w:bookmarkEnd w:id="1"/>
      <w:r w:rsidRPr="00D36C0C">
        <w:rPr>
          <w:rFonts w:ascii="Charter BT" w:hAnsi="Charter BT"/>
          <w:color w:val="5B9BD5" w:themeColor="accent5"/>
        </w:rPr>
        <w:t>”</w:t>
      </w:r>
    </w:p>
    <w:p w14:paraId="4C2FAF51" w14:textId="55B4C064" w:rsidR="00B466FD" w:rsidRPr="00D36C0C" w:rsidRDefault="00213CFE" w:rsidP="005975A3">
      <w:pPr>
        <w:ind w:left="-426" w:firstLine="426"/>
        <w:jc w:val="both"/>
        <w:rPr>
          <w:rFonts w:ascii="Charter BT" w:hAnsi="Charter BT" w:hint="eastAsia"/>
        </w:rPr>
      </w:pPr>
      <w:r w:rsidRPr="00D36C0C">
        <w:rPr>
          <w:rFonts w:ascii="Charter BT" w:hAnsi="Charter BT"/>
        </w:rPr>
        <w:br/>
      </w:r>
      <w:r w:rsidRPr="00D36C0C">
        <w:rPr>
          <w:rFonts w:ascii="Charter BT" w:hAnsi="Charter BT"/>
        </w:rPr>
        <w:br/>
      </w:r>
      <w:r w:rsidR="001E6044" w:rsidRPr="00D36C0C">
        <w:rPr>
          <w:rFonts w:ascii="Charter BT" w:hAnsi="Charter BT"/>
        </w:rPr>
        <w:t>5</w:t>
      </w:r>
      <w:r w:rsidR="00B42199" w:rsidRPr="00D36C0C">
        <w:rPr>
          <w:rFonts w:ascii="Charter BT" w:hAnsi="Charter BT"/>
        </w:rPr>
        <w:t xml:space="preserve">. </w:t>
      </w:r>
      <w:r w:rsidR="00B466FD" w:rsidRPr="00D36C0C">
        <w:rPr>
          <w:rFonts w:ascii="Charter BT" w:hAnsi="Charter BT"/>
        </w:rPr>
        <w:t>A</w:t>
      </w:r>
      <w:r w:rsidRPr="00D36C0C">
        <w:rPr>
          <w:rFonts w:ascii="Charter BT" w:hAnsi="Charter BT"/>
        </w:rPr>
        <w:t>ny resubmissions must be carefully edited</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proofread, sifting out typos in the text</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 xml:space="preserve">maps. For example, </w:t>
      </w:r>
      <w:r w:rsidRPr="00D36C0C">
        <w:rPr>
          <w:rFonts w:ascii="Charter BT" w:hAnsi="Charter BT" w:cs="Charter"/>
        </w:rPr>
        <w:t>‘</w:t>
      </w:r>
      <w:r w:rsidRPr="00D36C0C">
        <w:rPr>
          <w:rFonts w:ascii="Charter BT" w:hAnsi="Charter BT"/>
        </w:rPr>
        <w:t>ccompared</w:t>
      </w:r>
      <w:r w:rsidRPr="00D36C0C">
        <w:rPr>
          <w:rFonts w:ascii="Charter BT" w:hAnsi="Charter BT" w:cs="Charter"/>
        </w:rPr>
        <w:t>’</w:t>
      </w:r>
      <w:r w:rsidRPr="00D36C0C">
        <w:rPr>
          <w:rFonts w:ascii="Charter BT" w:hAnsi="Charter BT"/>
        </w:rPr>
        <w:t xml:space="preserve"> in line 359, </w:t>
      </w:r>
      <w:r w:rsidRPr="00D36C0C">
        <w:rPr>
          <w:rFonts w:ascii="Charter BT" w:hAnsi="Charter BT" w:cs="Charter"/>
        </w:rPr>
        <w:t>‘</w:t>
      </w:r>
      <w:r w:rsidRPr="00D36C0C">
        <w:rPr>
          <w:rFonts w:ascii="Charter BT" w:hAnsi="Charter BT"/>
        </w:rPr>
        <w:t>with</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with</w:t>
      </w:r>
      <w:r w:rsidRPr="00D36C0C">
        <w:rPr>
          <w:rFonts w:ascii="Charter BT" w:hAnsi="Charter BT" w:cs="Charter"/>
        </w:rPr>
        <w:t>’</w:t>
      </w:r>
      <w:r w:rsidRPr="00D36C0C">
        <w:rPr>
          <w:rFonts w:ascii="Charter BT" w:hAnsi="Charter BT"/>
        </w:rPr>
        <w:t xml:space="preserve"> in line 34-35 on pg.99, different titles of maps shown on the map</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in the figure caption, in Fig.S3, using the same colour gradient for different numeric scales across nearby maps (namely, the same colour refers to different scales on nearby maps, which could easily lead to misinterpretations) in most figures,</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potential map repetitions in Fig.S4 (the two maps there look exactly the same).</w:t>
      </w:r>
    </w:p>
    <w:p w14:paraId="64EB8B34" w14:textId="77777777" w:rsidR="00B466FD" w:rsidRPr="00D36C0C" w:rsidRDefault="00B466FD" w:rsidP="00213CFE">
      <w:pPr>
        <w:jc w:val="both"/>
        <w:rPr>
          <w:rFonts w:ascii="Charter BT" w:hAnsi="Charter BT" w:hint="eastAsia"/>
        </w:rPr>
      </w:pPr>
    </w:p>
    <w:p w14:paraId="6F171686" w14:textId="5C1E5DE9" w:rsidR="0011319E" w:rsidRPr="00D36C0C" w:rsidRDefault="00B466FD" w:rsidP="00D17965">
      <w:pPr>
        <w:ind w:left="-426" w:firstLine="426"/>
        <w:jc w:val="both"/>
        <w:rPr>
          <w:rFonts w:ascii="Charter BT" w:hAnsi="Charter BT" w:hint="eastAsia"/>
        </w:rPr>
      </w:pPr>
      <w:r w:rsidRPr="00D36C0C">
        <w:rPr>
          <w:rFonts w:ascii="Charter BT" w:hAnsi="Charter BT"/>
          <w:b/>
          <w:bCs/>
        </w:rPr>
        <w:t>Response:</w:t>
      </w:r>
      <w:r w:rsidRPr="00D36C0C">
        <w:rPr>
          <w:rFonts w:ascii="Charter BT" w:hAnsi="Charter BT"/>
        </w:rPr>
        <w:t xml:space="preserve"> </w:t>
      </w:r>
      <w:r w:rsidR="0011319E" w:rsidRPr="00D36C0C">
        <w:rPr>
          <w:rFonts w:ascii="Charter BT" w:hAnsi="Charter BT"/>
        </w:rPr>
        <w:t xml:space="preserve"> Thank you very much for your detailed review. In the revised paper, we have carefully proofread the manuscript and believe that both readability and writing rigor have been improved.</w:t>
      </w:r>
    </w:p>
    <w:p w14:paraId="0A7E62A5" w14:textId="6120F036" w:rsidR="007C4CA7" w:rsidRPr="00D36C0C" w:rsidRDefault="002904B7" w:rsidP="001A1ABC">
      <w:pPr>
        <w:ind w:left="-426" w:firstLine="426"/>
        <w:jc w:val="both"/>
        <w:rPr>
          <w:rFonts w:ascii="Charter BT" w:hAnsi="Charter BT" w:hint="eastAsia"/>
        </w:rPr>
      </w:pPr>
      <w:r w:rsidRPr="00D36C0C">
        <w:rPr>
          <w:rFonts w:ascii="Charter BT" w:hAnsi="Charter BT"/>
        </w:rPr>
        <w:br w:type="page"/>
      </w:r>
      <w:r w:rsidR="00213CFE" w:rsidRPr="00D36C0C">
        <w:rPr>
          <w:rFonts w:ascii="Charter BT" w:hAnsi="Charter BT"/>
          <w:b/>
          <w:bCs/>
        </w:rPr>
        <w:lastRenderedPageBreak/>
        <w:br/>
        <w:t>Referee: 2</w:t>
      </w:r>
    </w:p>
    <w:p w14:paraId="46996F59" w14:textId="2E338B93" w:rsidR="006C1173" w:rsidRPr="00D36C0C" w:rsidRDefault="00213CFE" w:rsidP="00213CFE">
      <w:pPr>
        <w:jc w:val="both"/>
        <w:rPr>
          <w:rFonts w:ascii="Charter BT" w:hAnsi="Charter BT" w:hint="eastAsia"/>
          <w:b/>
          <w:bCs/>
        </w:rPr>
      </w:pPr>
      <w:r w:rsidRPr="00D36C0C">
        <w:rPr>
          <w:rFonts w:ascii="Charter BT" w:hAnsi="Charter BT"/>
        </w:rPr>
        <w:br/>
        <w:t>Thank you to the authors for taking my comments into consideration when revising the manuscript. I appreciate the improvements to the methodology, which allow me to now focus on some of the bigger-picture aspects of the paper. My opinion is that there is still a gap concerning a lack of novelty in the conclusions in terms of findings, critiques, or lessons for</w:t>
      </w:r>
      <w:r w:rsidRPr="00D36C0C">
        <w:rPr>
          <w:rFonts w:ascii="Charter BT" w:hAnsi="Charter BT" w:cs="Cambria"/>
        </w:rPr>
        <w:t> </w:t>
      </w:r>
      <w:r w:rsidRPr="00D36C0C">
        <w:rPr>
          <w:rFonts w:ascii="Charter BT" w:hAnsi="Charter BT"/>
        </w:rPr>
        <w:t>planning</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urban design. Below I outline several comments for the authors:</w:t>
      </w:r>
    </w:p>
    <w:p w14:paraId="5DB779EE" w14:textId="77777777" w:rsidR="006C1173" w:rsidRPr="00D36C0C" w:rsidRDefault="006C1173" w:rsidP="00213CFE">
      <w:pPr>
        <w:jc w:val="both"/>
        <w:rPr>
          <w:rFonts w:ascii="Charter BT" w:hAnsi="Charter BT" w:hint="eastAsia"/>
        </w:rPr>
      </w:pPr>
    </w:p>
    <w:p w14:paraId="23AF2FD6" w14:textId="1532A5ED" w:rsidR="008B53C4" w:rsidRPr="00D36C0C" w:rsidRDefault="006C1173" w:rsidP="0010148B">
      <w:pPr>
        <w:ind w:left="-426" w:firstLine="426"/>
        <w:jc w:val="both"/>
        <w:rPr>
          <w:rFonts w:ascii="Charter BT" w:hAnsi="Charter BT" w:hint="eastAsia"/>
          <w:color w:val="000000" w:themeColor="text1"/>
        </w:rPr>
      </w:pPr>
      <w:r w:rsidRPr="00D36C0C">
        <w:rPr>
          <w:rFonts w:ascii="Charter BT" w:hAnsi="Charter BT"/>
          <w:b/>
          <w:bCs/>
        </w:rPr>
        <w:t xml:space="preserve">Response: </w:t>
      </w:r>
      <w:r w:rsidR="0010148B" w:rsidRPr="00D36C0C">
        <w:rPr>
          <w:rFonts w:ascii="Charter BT" w:hAnsi="Charter BT"/>
        </w:rPr>
        <w:t xml:space="preserve"> </w:t>
      </w:r>
      <w:r w:rsidR="00936CB4" w:rsidRPr="00D36C0C">
        <w:rPr>
          <w:rFonts w:ascii="Charter BT" w:hAnsi="Charter BT"/>
        </w:rPr>
        <w:t xml:space="preserve">Thank you for your constructive feedback. We agree that the discussion and conclusion need strengthening. In this revision, we have clarified the main contributions. First, we define volumetric urban design by its two key features: 3D pedestrian networks and metro stations following TOD principles. We also developed and validated a transparent, open-access methodology using fine-grained data from complex 3D urban environments. Second, we advanced understanding of the interplay between multi-level connectivity, volumetric design intensity, and TOD outcomes, highlighting their individual and combined impacts on connectedness, compression, and functional mix. Finally, we offer practical recommendations for integrated design, emphasizing </w:t>
      </w:r>
      <w:r w:rsidR="00FE3587" w:rsidRPr="00D36C0C">
        <w:rPr>
          <w:rFonts w:ascii="Charter BT" w:hAnsi="Charter BT"/>
        </w:rPr>
        <w:t>the coordination of</w:t>
      </w:r>
      <w:r w:rsidR="00936CB4" w:rsidRPr="00D36C0C">
        <w:rPr>
          <w:rFonts w:ascii="Charter BT" w:hAnsi="Charter BT"/>
        </w:rPr>
        <w:t xml:space="preserve"> pedestrian networks, metro infrastructure, and private development to </w:t>
      </w:r>
      <w:r w:rsidR="00FE3587" w:rsidRPr="00D36C0C">
        <w:rPr>
          <w:rFonts w:ascii="Charter BT" w:hAnsi="Charter BT"/>
        </w:rPr>
        <w:t>enhanc</w:t>
      </w:r>
      <w:r w:rsidR="00936CB4" w:rsidRPr="00D36C0C">
        <w:rPr>
          <w:rFonts w:ascii="Charter BT" w:hAnsi="Charter BT"/>
        </w:rPr>
        <w:t>e public access and urban functionality</w:t>
      </w:r>
      <w:r w:rsidR="002276EE" w:rsidRPr="00D36C0C">
        <w:rPr>
          <w:rFonts w:ascii="Charter BT" w:hAnsi="Charter BT"/>
          <w:color w:val="000000" w:themeColor="text1"/>
        </w:rPr>
        <w:t xml:space="preserve">.  </w:t>
      </w:r>
    </w:p>
    <w:p w14:paraId="66710158" w14:textId="6B9B92F5" w:rsidR="00FE3587" w:rsidRPr="00D36C0C" w:rsidRDefault="00FE3587" w:rsidP="0010148B">
      <w:pPr>
        <w:ind w:left="-426" w:firstLine="426"/>
        <w:jc w:val="both"/>
        <w:rPr>
          <w:rFonts w:ascii="Charter BT" w:hAnsi="Charter BT" w:hint="eastAsia"/>
        </w:rPr>
      </w:pPr>
      <w:r w:rsidRPr="00D36C0C">
        <w:rPr>
          <w:rFonts w:ascii="Charter BT" w:hAnsi="Charter BT"/>
          <w:b/>
          <w:bCs/>
          <w:color w:val="000000" w:themeColor="text1"/>
        </w:rPr>
        <w:t>Please find below a point-by-point response</w:t>
      </w:r>
      <w:r w:rsidRPr="00D36C0C">
        <w:rPr>
          <w:rFonts w:ascii="Charter BT" w:hAnsi="Charter BT"/>
          <w:color w:val="000000" w:themeColor="text1"/>
        </w:rPr>
        <w:t xml:space="preserve">: </w:t>
      </w:r>
    </w:p>
    <w:p w14:paraId="28E47EC7" w14:textId="0925E341" w:rsidR="00A7265B" w:rsidRPr="00D36C0C" w:rsidRDefault="00213CFE" w:rsidP="00213CFE">
      <w:pPr>
        <w:jc w:val="both"/>
        <w:rPr>
          <w:rFonts w:ascii="Charter BT" w:hAnsi="Charter BT" w:hint="eastAsia"/>
        </w:rPr>
      </w:pPr>
      <w:r w:rsidRPr="00D36C0C">
        <w:rPr>
          <w:rFonts w:ascii="Charter BT" w:hAnsi="Charter BT"/>
        </w:rPr>
        <w:br/>
        <w:t>1. In the previous round, I found my edge effect comment was not satisfactorily addressed. What does “the willingness to walk in Hong Kong was within 400 meters” refer to? If the analysis had been extended 400m outwards, there would not be arbitrary edge effects for the areas directly under study.</w:t>
      </w:r>
    </w:p>
    <w:p w14:paraId="67AD0D1F" w14:textId="77777777" w:rsidR="004008B1" w:rsidRPr="00D36C0C" w:rsidRDefault="004008B1" w:rsidP="00213CFE">
      <w:pPr>
        <w:jc w:val="both"/>
        <w:rPr>
          <w:rFonts w:ascii="Charter BT" w:hAnsi="Charter BT" w:hint="eastAsia"/>
        </w:rPr>
      </w:pPr>
    </w:p>
    <w:p w14:paraId="604930F0" w14:textId="57AE6A4C" w:rsidR="00720E13" w:rsidRPr="00D36C0C" w:rsidRDefault="004008B1" w:rsidP="00720E13">
      <w:pPr>
        <w:ind w:left="-426" w:firstLine="426"/>
        <w:jc w:val="both"/>
        <w:rPr>
          <w:rFonts w:ascii="Charter BT" w:hAnsi="Charter BT" w:hint="eastAsia"/>
        </w:rPr>
      </w:pPr>
      <w:r w:rsidRPr="00D36C0C">
        <w:rPr>
          <w:rFonts w:ascii="Charter BT" w:hAnsi="Charter BT"/>
          <w:b/>
          <w:bCs/>
        </w:rPr>
        <w:t>Response:</w:t>
      </w:r>
      <w:r w:rsidRPr="00D36C0C">
        <w:rPr>
          <w:rFonts w:ascii="Charter BT" w:hAnsi="Charter BT"/>
        </w:rPr>
        <w:t xml:space="preserve"> </w:t>
      </w:r>
      <w:r w:rsidR="00720E13" w:rsidRPr="00D36C0C">
        <w:rPr>
          <w:rFonts w:ascii="Charter BT" w:hAnsi="Charter BT"/>
        </w:rPr>
        <w:t xml:space="preserve">Thank you for your comments. We acknowledge that edge effects are a concern in spatial analysis. In our study, we defined a 400-meter boundary for measuring the built environment, following established literature on typical walking distances in Hong Kong. </w:t>
      </w:r>
      <w:r w:rsidR="00697894" w:rsidRPr="00D36C0C">
        <w:rPr>
          <w:rFonts w:ascii="Charter BT" w:hAnsi="Charter BT"/>
        </w:rPr>
        <w:t>We agree with the reviewer that e</w:t>
      </w:r>
      <w:r w:rsidR="00720E13" w:rsidRPr="00D36C0C">
        <w:rPr>
          <w:rFonts w:ascii="Charter BT" w:hAnsi="Charter BT"/>
        </w:rPr>
        <w:t>dge effects</w:t>
      </w:r>
      <w:r w:rsidR="00697894" w:rsidRPr="00D36C0C">
        <w:rPr>
          <w:rFonts w:ascii="Charter BT" w:hAnsi="Charter BT"/>
        </w:rPr>
        <w:t xml:space="preserve"> could</w:t>
      </w:r>
      <w:r w:rsidR="00720E13" w:rsidRPr="00D36C0C">
        <w:rPr>
          <w:rFonts w:ascii="Charter BT" w:hAnsi="Charter BT"/>
        </w:rPr>
        <w:t xml:space="preserve"> arise in two ways: </w:t>
      </w:r>
      <w:r w:rsidR="00DF1E20" w:rsidRPr="00D36C0C">
        <w:rPr>
          <w:rFonts w:ascii="Charter BT" w:hAnsi="Charter BT"/>
        </w:rPr>
        <w:t xml:space="preserve">1. </w:t>
      </w:r>
      <w:r w:rsidR="00720E13" w:rsidRPr="00D36C0C">
        <w:rPr>
          <w:rFonts w:ascii="Charter BT" w:hAnsi="Charter BT"/>
        </w:rPr>
        <w:t xml:space="preserve">Natural barriers (e.g., sea, parks) </w:t>
      </w:r>
      <w:r w:rsidR="00EF5E2D" w:rsidRPr="00D36C0C">
        <w:rPr>
          <w:rFonts w:ascii="Charter BT" w:hAnsi="Charter BT"/>
        </w:rPr>
        <w:t>confine the</w:t>
      </w:r>
      <w:r w:rsidR="00720E13" w:rsidRPr="00D36C0C">
        <w:rPr>
          <w:rFonts w:ascii="Charter BT" w:hAnsi="Charter BT"/>
        </w:rPr>
        <w:t xml:space="preserve"> built areas, so areas like TST and Central have boundaries where no built environment exists</w:t>
      </w:r>
      <w:r w:rsidR="009854A4" w:rsidRPr="00D36C0C">
        <w:rPr>
          <w:rFonts w:ascii="Charter BT" w:hAnsi="Charter BT"/>
        </w:rPr>
        <w:t xml:space="preserve">, </w:t>
      </w:r>
      <w:r w:rsidR="00720E13" w:rsidRPr="00D36C0C">
        <w:rPr>
          <w:rFonts w:ascii="Charter BT" w:hAnsi="Charter BT"/>
        </w:rPr>
        <w:t xml:space="preserve">leading to zero values in those directions. </w:t>
      </w:r>
      <w:r w:rsidR="00DF1E20" w:rsidRPr="00D36C0C">
        <w:rPr>
          <w:rFonts w:ascii="Charter BT" w:hAnsi="Charter BT"/>
        </w:rPr>
        <w:t xml:space="preserve">2. </w:t>
      </w:r>
      <w:r w:rsidR="00720E13" w:rsidRPr="00D36C0C">
        <w:rPr>
          <w:rFonts w:ascii="Charter BT" w:hAnsi="Charter BT"/>
        </w:rPr>
        <w:t>Data limitations at the study area’s edge, where adjacent built environments fall outside our dataset, may result in incomplete information.</w:t>
      </w:r>
    </w:p>
    <w:p w14:paraId="0301944B" w14:textId="164DCA10" w:rsidR="00065090" w:rsidRPr="00D36C0C" w:rsidRDefault="00720E13" w:rsidP="00720E13">
      <w:pPr>
        <w:ind w:left="-426" w:firstLine="426"/>
        <w:jc w:val="both"/>
        <w:rPr>
          <w:rFonts w:ascii="Charter BT" w:hAnsi="Charter BT" w:hint="eastAsia"/>
        </w:rPr>
      </w:pPr>
      <w:r w:rsidRPr="00D36C0C">
        <w:rPr>
          <w:rFonts w:ascii="Charter BT" w:hAnsi="Charter BT"/>
        </w:rPr>
        <w:t xml:space="preserve">We addressed these by excluding unbuilt areas and focusing our analysis within the designated 400-meter built-up boundary. However, we acknowledge that edge </w:t>
      </w:r>
      <w:r w:rsidRPr="00D36C0C">
        <w:rPr>
          <w:rFonts w:ascii="Charter BT" w:hAnsi="Charter BT"/>
        </w:rPr>
        <w:lastRenderedPageBreak/>
        <w:t>effects may still influence results, particularly near natural or study boundaries, and have clarified this limitation in the revised manuscript.</w:t>
      </w:r>
      <w:bookmarkStart w:id="2" w:name="_Hlk203748829"/>
      <w:r w:rsidR="00065090" w:rsidRPr="00D36C0C">
        <w:rPr>
          <w:rFonts w:ascii="Charter BT" w:hAnsi="Charter BT"/>
        </w:rPr>
        <w:t xml:space="preserve"> </w:t>
      </w:r>
    </w:p>
    <w:bookmarkEnd w:id="2"/>
    <w:p w14:paraId="534FD675" w14:textId="77777777" w:rsidR="007B6213" w:rsidRPr="00D36C0C" w:rsidRDefault="007B6213" w:rsidP="00D17965">
      <w:pPr>
        <w:ind w:left="-426" w:firstLine="426"/>
        <w:jc w:val="both"/>
        <w:rPr>
          <w:rFonts w:ascii="Charter BT" w:hAnsi="Charter BT" w:hint="eastAsia"/>
        </w:rPr>
      </w:pPr>
    </w:p>
    <w:p w14:paraId="7F9B5C43" w14:textId="1C4DB598" w:rsidR="007B6213" w:rsidRPr="00D36C0C" w:rsidRDefault="007B6213" w:rsidP="00D17965">
      <w:pPr>
        <w:ind w:left="-426" w:firstLine="426"/>
        <w:jc w:val="both"/>
        <w:rPr>
          <w:rFonts w:ascii="Charter BT" w:hAnsi="Charter BT" w:hint="eastAsia"/>
          <w:color w:val="5B9BD5" w:themeColor="accent5"/>
        </w:rPr>
      </w:pPr>
      <w:r w:rsidRPr="00D36C0C">
        <w:rPr>
          <w:rFonts w:ascii="Charter BT" w:hAnsi="Charter BT"/>
          <w:color w:val="5B9BD5" w:themeColor="accent5"/>
        </w:rPr>
        <w:t>“</w:t>
      </w:r>
      <w:r w:rsidR="003F1989" w:rsidRPr="00D36C0C">
        <w:rPr>
          <w:rFonts w:ascii="Charter BT" w:hAnsi="Charter BT"/>
          <w:color w:val="5B9BD5" w:themeColor="accent5"/>
        </w:rPr>
        <w:t>Edge effect in this study could arise from two sources. First, natural barriers such as the sea, protected areas, and country parks restrict urban expansion, resulting in a lack of built environment information for areas extending beyond these boundaries (e.g., waterfront buildings facing the sea). Second, edge effects occur where the study area borders developed regions not included in the dataset, potentially resulting in incomplete information near the boundaries. To address this, we excluded catchment areas that overlapped with unbuilt areas (e.g., sea) and built areas outside the study boundary. Catchment areas for connectedness and compression were defined as 400</w:t>
      </w:r>
      <w:r w:rsidR="003F1989" w:rsidRPr="00D36C0C">
        <w:rPr>
          <w:rFonts w:ascii="Charter BT" w:hAnsi="Charter BT" w:cs="Times New Roman"/>
          <w:color w:val="5B9BD5" w:themeColor="accent5"/>
        </w:rPr>
        <w:t> </w:t>
      </w:r>
      <w:r w:rsidR="003F1989" w:rsidRPr="00D36C0C">
        <w:rPr>
          <w:rFonts w:ascii="Charter BT" w:hAnsi="Charter BT"/>
          <w:color w:val="5B9BD5" w:themeColor="accent5"/>
        </w:rPr>
        <w:t>m network-based distances from each building centroid, reflecting the typical walking distance preferred by Hong Kong residents (Audi et al., 2010)</w:t>
      </w:r>
      <w:r w:rsidR="00484346" w:rsidRPr="00D36C0C">
        <w:rPr>
          <w:rFonts w:ascii="Charter BT" w:hAnsi="Charter BT"/>
          <w:color w:val="5B9BD5" w:themeColor="accent5"/>
        </w:rPr>
        <w:t xml:space="preserve"> </w:t>
      </w:r>
      <w:r w:rsidR="00E1474C" w:rsidRPr="00D36C0C">
        <w:rPr>
          <w:rFonts w:ascii="Charter BT" w:hAnsi="Charter BT"/>
          <w:color w:val="5B9BD5" w:themeColor="accent5"/>
        </w:rPr>
        <w:t xml:space="preserve">(Line </w:t>
      </w:r>
      <w:r w:rsidR="00D03500" w:rsidRPr="00D36C0C">
        <w:rPr>
          <w:rFonts w:ascii="Charter BT" w:hAnsi="Charter BT"/>
          <w:color w:val="5B9BD5" w:themeColor="accent5"/>
        </w:rPr>
        <w:t>3</w:t>
      </w:r>
      <w:r w:rsidR="00CA0E7C" w:rsidRPr="00D36C0C">
        <w:rPr>
          <w:rFonts w:ascii="Charter BT" w:hAnsi="Charter BT"/>
          <w:color w:val="5B9BD5" w:themeColor="accent5"/>
        </w:rPr>
        <w:t>03</w:t>
      </w:r>
      <w:r w:rsidR="00D03500" w:rsidRPr="00D36C0C">
        <w:rPr>
          <w:rFonts w:ascii="Charter BT" w:hAnsi="Charter BT"/>
          <w:color w:val="5B9BD5" w:themeColor="accent5"/>
        </w:rPr>
        <w:t>-31</w:t>
      </w:r>
      <w:r w:rsidR="00CA0E7C" w:rsidRPr="00D36C0C">
        <w:rPr>
          <w:rFonts w:ascii="Charter BT" w:hAnsi="Charter BT"/>
          <w:color w:val="5B9BD5" w:themeColor="accent5"/>
        </w:rPr>
        <w:t>1</w:t>
      </w:r>
      <w:r w:rsidR="00E1474C" w:rsidRPr="00D36C0C">
        <w:rPr>
          <w:rFonts w:ascii="Charter BT" w:hAnsi="Charter BT"/>
          <w:color w:val="5B9BD5" w:themeColor="accent5"/>
        </w:rPr>
        <w:t>)</w:t>
      </w:r>
      <w:r w:rsidRPr="00D36C0C">
        <w:rPr>
          <w:rFonts w:ascii="Charter BT" w:hAnsi="Charter BT"/>
          <w:color w:val="5B9BD5" w:themeColor="accent5"/>
        </w:rPr>
        <w:t>.”</w:t>
      </w:r>
    </w:p>
    <w:p w14:paraId="0D420493" w14:textId="0AB26B53" w:rsidR="006C1173" w:rsidRPr="00D36C0C" w:rsidRDefault="00213CFE" w:rsidP="00065090">
      <w:pPr>
        <w:jc w:val="both"/>
        <w:rPr>
          <w:rFonts w:ascii="Charter BT" w:hAnsi="Charter BT" w:hint="eastAsia"/>
        </w:rPr>
      </w:pPr>
      <w:r w:rsidRPr="00D36C0C">
        <w:rPr>
          <w:rFonts w:ascii="Charter BT" w:hAnsi="Charter BT"/>
        </w:rPr>
        <w:br/>
      </w:r>
      <w:r w:rsidRPr="00D36C0C">
        <w:rPr>
          <w:rFonts w:ascii="Charter BT" w:hAnsi="Charter BT"/>
        </w:rPr>
        <w:br/>
        <w:t>2. The notation is still unclear in this revision. Is C_i compression or connectedness?</w:t>
      </w:r>
    </w:p>
    <w:p w14:paraId="7D7A1B7A" w14:textId="4694A42F" w:rsidR="00C20D33" w:rsidRPr="00D36C0C" w:rsidRDefault="006C1173" w:rsidP="00D17965">
      <w:pPr>
        <w:ind w:left="-426" w:firstLine="426"/>
        <w:jc w:val="both"/>
        <w:rPr>
          <w:rFonts w:ascii="Charter BT" w:hAnsi="Charter BT" w:hint="eastAsia"/>
        </w:rPr>
      </w:pPr>
      <w:r w:rsidRPr="00D36C0C">
        <w:rPr>
          <w:rFonts w:ascii="Charter BT" w:hAnsi="Charter BT"/>
          <w:b/>
          <w:bCs/>
        </w:rPr>
        <w:t>Response:</w:t>
      </w:r>
      <w:r w:rsidRPr="00D36C0C">
        <w:rPr>
          <w:rFonts w:ascii="Charter BT" w:hAnsi="Charter BT"/>
        </w:rPr>
        <w:t xml:space="preserve"> </w:t>
      </w:r>
      <w:r w:rsidR="00C20D33" w:rsidRPr="00D36C0C">
        <w:rPr>
          <w:rFonts w:ascii="Charter BT" w:hAnsi="Charter BT"/>
        </w:rPr>
        <w:t xml:space="preserve">Thanks for your comments.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C</m:t>
            </m:r>
          </m:e>
          <m:sub>
            <m:r>
              <w:rPr>
                <w:rFonts w:ascii="Cambria Math" w:hAnsi="Cambria Math" w:cs="Times New Roman"/>
                <w:color w:val="000000" w:themeColor="text1"/>
              </w:rPr>
              <m:t>i</m:t>
            </m:r>
          </m:sub>
        </m:sSub>
      </m:oMath>
      <w:r w:rsidR="00C61B17" w:rsidRPr="00D36C0C">
        <w:rPr>
          <w:rFonts w:ascii="Charter BT" w:hAnsi="Charter BT"/>
        </w:rPr>
        <w:t xml:space="preserve"> represents compression and connectedness in </w:t>
      </w:r>
      <w:r w:rsidR="00073BD0" w:rsidRPr="00D36C0C">
        <w:rPr>
          <w:rFonts w:ascii="Charter BT" w:hAnsi="Charter BT"/>
        </w:rPr>
        <w:t xml:space="preserve">the </w:t>
      </w:r>
      <w:r w:rsidR="00C61B17" w:rsidRPr="00D36C0C">
        <w:rPr>
          <w:rFonts w:ascii="Charter BT" w:hAnsi="Charter BT"/>
        </w:rPr>
        <w:t xml:space="preserve">respective mathematical formulas. However, </w:t>
      </w:r>
      <w:r w:rsidR="00F2177D" w:rsidRPr="00D36C0C">
        <w:rPr>
          <w:rFonts w:ascii="Charter BT" w:hAnsi="Charter BT"/>
        </w:rPr>
        <w:t xml:space="preserve">we have revised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C</m:t>
            </m:r>
          </m:e>
          <m:sub>
            <m:r>
              <w:rPr>
                <w:rFonts w:ascii="Cambria Math" w:hAnsi="Cambria Math" w:cs="Times New Roman"/>
                <w:color w:val="000000" w:themeColor="text1"/>
              </w:rPr>
              <m:t>i</m:t>
            </m:r>
          </m:sub>
        </m:sSub>
      </m:oMath>
      <w:r w:rsidR="00A37E4C" w:rsidRPr="00D36C0C">
        <w:rPr>
          <w:rFonts w:ascii="Charter BT" w:hAnsi="Charter BT"/>
        </w:rPr>
        <w:t xml:space="preserve"> </w:t>
      </w:r>
      <w:r w:rsidR="00F2177D" w:rsidRPr="00D36C0C">
        <w:rPr>
          <w:rFonts w:ascii="Charter BT" w:hAnsi="Charter BT"/>
        </w:rPr>
        <w:t xml:space="preserve">to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Com</m:t>
            </m:r>
          </m:e>
          <m:sub>
            <m:r>
              <w:rPr>
                <w:rFonts w:ascii="Cambria Math" w:hAnsi="Cambria Math" w:cs="Times New Roman"/>
                <w:color w:val="000000" w:themeColor="text1"/>
              </w:rPr>
              <m:t>i</m:t>
            </m:r>
          </m:sub>
        </m:sSub>
      </m:oMath>
      <w:r w:rsidR="00F2177D" w:rsidRPr="00D36C0C">
        <w:rPr>
          <w:rFonts w:ascii="Charter BT" w:hAnsi="Charter BT"/>
        </w:rPr>
        <w:t xml:space="preserve"> and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Con</m:t>
            </m:r>
          </m:e>
          <m:sub>
            <m:r>
              <w:rPr>
                <w:rFonts w:ascii="Cambria Math" w:hAnsi="Cambria Math" w:cs="Times New Roman"/>
                <w:color w:val="000000" w:themeColor="text1"/>
              </w:rPr>
              <m:t>i</m:t>
            </m:r>
          </m:sub>
        </m:sSub>
      </m:oMath>
      <w:r w:rsidR="00A37E4C" w:rsidRPr="00D36C0C">
        <w:rPr>
          <w:rFonts w:ascii="Charter BT" w:hAnsi="Charter BT"/>
          <w:color w:val="000000" w:themeColor="text1"/>
        </w:rPr>
        <w:t xml:space="preserve"> </w:t>
      </w:r>
      <w:r w:rsidR="004008B1" w:rsidRPr="00D36C0C">
        <w:rPr>
          <w:rFonts w:ascii="Charter BT" w:hAnsi="Charter BT"/>
        </w:rPr>
        <w:t xml:space="preserve">in two formulas </w:t>
      </w:r>
      <w:r w:rsidR="00F2177D" w:rsidRPr="00D36C0C">
        <w:rPr>
          <w:rFonts w:ascii="Charter BT" w:hAnsi="Charter BT"/>
        </w:rPr>
        <w:t xml:space="preserve">to avoid confusion for the reviewers and readers.  </w:t>
      </w:r>
    </w:p>
    <w:p w14:paraId="29E45535" w14:textId="77777777" w:rsidR="00A37E4C" w:rsidRPr="00D36C0C" w:rsidRDefault="00A37E4C" w:rsidP="00D17965">
      <w:pPr>
        <w:ind w:left="-426" w:firstLine="426"/>
        <w:jc w:val="both"/>
        <w:rPr>
          <w:rFonts w:ascii="Charter BT" w:hAnsi="Charter BT" w:hint="eastAsia"/>
        </w:rPr>
      </w:pPr>
    </w:p>
    <w:p w14:paraId="01D7F256" w14:textId="77777777" w:rsidR="00A37E4C" w:rsidRPr="00D36C0C" w:rsidRDefault="00A37E4C" w:rsidP="00A37E4C">
      <w:pPr>
        <w:spacing w:line="480" w:lineRule="auto"/>
        <w:ind w:left="-142" w:right="-46" w:firstLine="420"/>
        <w:jc w:val="both"/>
        <w:rPr>
          <w:rFonts w:ascii="Charter BT" w:hAnsi="Charter BT" w:cs="Times New Roman" w:hint="eastAsia"/>
          <w:color w:val="000000" w:themeColor="text1"/>
        </w:rPr>
      </w:pPr>
      <w:r w:rsidRPr="00D36C0C">
        <w:rPr>
          <w:rFonts w:ascii="Charter BT" w:hAnsi="Charter BT" w:cs="Times New Roman"/>
          <w:color w:val="000000" w:themeColor="text1"/>
        </w:rPr>
        <w:t xml:space="preserve">The compression level of a location </w:t>
      </w:r>
      <m:oMath>
        <m:r>
          <w:rPr>
            <w:rFonts w:ascii="Cambria Math" w:hAnsi="Cambria Math" w:cs="Times New Roman"/>
            <w:color w:val="000000" w:themeColor="text1"/>
          </w:rPr>
          <m:t>i</m:t>
        </m:r>
      </m:oMath>
      <w:r w:rsidRPr="00D36C0C">
        <w:rPr>
          <w:rFonts w:ascii="Charter BT" w:hAnsi="Charter BT" w:cs="Times New Roman"/>
          <w:color w:val="000000" w:themeColor="text1"/>
        </w:rPr>
        <w:t xml:space="preserve"> is </w:t>
      </w:r>
      <m:oMath>
        <m:sSub>
          <m:sSubPr>
            <m:ctrlPr>
              <w:rPr>
                <w:rFonts w:ascii="Cambria Math" w:hAnsi="Cambria Math" w:cs="Times New Roman"/>
                <w:color w:val="000000" w:themeColor="text1"/>
              </w:rPr>
            </m:ctrlPr>
          </m:sSubPr>
          <m:e>
            <m:r>
              <w:rPr>
                <w:rFonts w:ascii="Cambria Math" w:hAnsi="Cambria Math" w:cs="Times New Roman"/>
                <w:color w:val="000000" w:themeColor="text1"/>
              </w:rPr>
              <m:t>Com</m:t>
            </m:r>
          </m:e>
          <m:sub>
            <m:r>
              <w:rPr>
                <w:rFonts w:ascii="Cambria Math" w:hAnsi="Cambria Math" w:cs="Times New Roman"/>
                <w:color w:val="000000" w:themeColor="text1"/>
              </w:rPr>
              <m:t>i</m:t>
            </m:r>
          </m:sub>
        </m:sSub>
      </m:oMath>
      <w:r w:rsidRPr="00D36C0C">
        <w:rPr>
          <w:rFonts w:ascii="Charter BT" w:hAnsi="Charter BT" w:cs="Times New Roman"/>
          <w:color w:val="000000" w:themeColor="text1"/>
        </w:rPr>
        <w:t>:</w:t>
      </w:r>
    </w:p>
    <w:p w14:paraId="54787E3F" w14:textId="77777777" w:rsidR="00A37E4C" w:rsidRPr="00D36C0C" w:rsidRDefault="00000000" w:rsidP="00A37E4C">
      <w:pPr>
        <w:spacing w:line="480" w:lineRule="auto"/>
        <w:ind w:left="-142" w:right="-46" w:firstLine="420"/>
        <w:jc w:val="center"/>
        <w:rPr>
          <w:rFonts w:ascii="Charter BT" w:hAnsi="Charter BT" w:cs="Times New Roman" w:hint="eastAsia"/>
          <w:color w:val="000000" w:themeColor="text1"/>
        </w:rPr>
      </w:pPr>
      <m:oMath>
        <m:sSub>
          <m:sSubPr>
            <m:ctrlPr>
              <w:rPr>
                <w:rFonts w:ascii="Cambria Math" w:hAnsi="Cambria Math" w:cs="Times New Roman"/>
                <w:i/>
                <w:color w:val="000000" w:themeColor="text1"/>
              </w:rPr>
            </m:ctrlPr>
          </m:sSubPr>
          <m:e>
            <m:r>
              <w:rPr>
                <w:rFonts w:ascii="Cambria Math" w:hAnsi="Cambria Math" w:cs="Times New Roman"/>
                <w:color w:val="000000" w:themeColor="text1"/>
              </w:rPr>
              <m:t>Com</m:t>
            </m:r>
          </m:e>
          <m:sub>
            <m:r>
              <w:rPr>
                <w:rFonts w:ascii="Cambria Math" w:hAnsi="Cambria Math" w:cs="Times New Roman"/>
                <w:color w:val="000000" w:themeColor="text1"/>
              </w:rPr>
              <m:t>i</m:t>
            </m:r>
          </m:sub>
        </m:sSub>
        <m:r>
          <w:rPr>
            <w:rFonts w:ascii="Cambria Math" w:hAnsi="Cambria Math" w:cs="Times New Roman"/>
            <w:color w:val="000000" w:themeColor="text1"/>
          </w:rPr>
          <m:t>=</m:t>
        </m:r>
        <m:f>
          <m:fPr>
            <m:ctrlPr>
              <w:rPr>
                <w:rFonts w:ascii="Cambria Math" w:hAnsi="Cambria Math" w:cs="Times New Roman"/>
                <w:i/>
                <w:color w:val="000000" w:themeColor="text1"/>
              </w:rPr>
            </m:ctrlPr>
          </m:fPr>
          <m:num>
            <m:nary>
              <m:naryPr>
                <m:chr m:val="∑"/>
                <m:limLoc m:val="subSup"/>
                <m:supHide m:val="1"/>
                <m:ctrlPr>
                  <w:rPr>
                    <w:rFonts w:ascii="Cambria Math" w:hAnsi="Cambria Math" w:cs="Times New Roman"/>
                    <w:color w:val="000000" w:themeColor="text1"/>
                  </w:rPr>
                </m:ctrlPr>
              </m:naryPr>
              <m:sub>
                <m:r>
                  <w:rPr>
                    <w:rFonts w:ascii="Cambria Math" w:hAnsi="Cambria Math" w:cs="Times New Roman"/>
                    <w:color w:val="000000" w:themeColor="text1"/>
                  </w:rPr>
                  <m:t>j</m:t>
                </m:r>
              </m:sub>
              <m:sup/>
              <m:e>
                <m:sSub>
                  <m:sSubPr>
                    <m:ctrlPr>
                      <w:rPr>
                        <w:rFonts w:ascii="Cambria Math" w:hAnsi="Cambria Math" w:cs="Times New Roman"/>
                        <w:i/>
                        <w:color w:val="000000" w:themeColor="text1"/>
                      </w:rPr>
                    </m:ctrlPr>
                  </m:sSubPr>
                  <m:e>
                    <m:r>
                      <w:rPr>
                        <w:rFonts w:ascii="Cambria Math" w:hAnsi="Cambria Math" w:cs="Times New Roman"/>
                        <w:color w:val="000000" w:themeColor="text1"/>
                      </w:rPr>
                      <m:t>P</m:t>
                    </m:r>
                  </m:e>
                  <m:sub>
                    <m:r>
                      <w:rPr>
                        <w:rFonts w:ascii="Cambria Math" w:hAnsi="Cambria Math" w:cs="Times New Roman"/>
                        <w:color w:val="000000" w:themeColor="text1"/>
                      </w:rPr>
                      <m:t>j</m:t>
                    </m:r>
                  </m:sub>
                </m:sSub>
                <m:r>
                  <w:rPr>
                    <w:rFonts w:ascii="Cambria Math" w:hAnsi="Cambria Math" w:cs="Times New Roman"/>
                    <w:color w:val="000000" w:themeColor="text1"/>
                  </w:rPr>
                  <m:t>* R</m:t>
                </m:r>
                <m:d>
                  <m:dPr>
                    <m:ctrlPr>
                      <w:rPr>
                        <w:rFonts w:ascii="Cambria Math" w:hAnsi="Cambria Math" w:cs="Times New Roman"/>
                        <w:i/>
                        <w:color w:val="000000" w:themeColor="text1"/>
                      </w:rPr>
                    </m:ctrlPr>
                  </m:dPr>
                  <m:e>
                    <m:sSub>
                      <m:sSubPr>
                        <m:ctrlPr>
                          <w:rPr>
                            <w:rFonts w:ascii="Cambria Math" w:hAnsi="Cambria Math" w:cs="Times New Roman"/>
                            <w:i/>
                            <w:color w:val="000000" w:themeColor="text1"/>
                          </w:rPr>
                        </m:ctrlPr>
                      </m:sSubPr>
                      <m:e>
                        <m:r>
                          <w:rPr>
                            <w:rFonts w:ascii="Cambria Math" w:hAnsi="Cambria Math" w:cs="Times New Roman"/>
                            <w:color w:val="000000" w:themeColor="text1"/>
                          </w:rPr>
                          <m:t>d</m:t>
                        </m:r>
                      </m:e>
                      <m:sub>
                        <m:r>
                          <w:rPr>
                            <w:rFonts w:ascii="Cambria Math" w:hAnsi="Cambria Math" w:cs="Times New Roman"/>
                            <w:color w:val="000000" w:themeColor="text1"/>
                          </w:rPr>
                          <m:t>ij</m:t>
                        </m:r>
                      </m:sub>
                    </m:sSub>
                  </m:e>
                </m:d>
              </m:e>
            </m:nary>
          </m:num>
          <m:den>
            <m:sSub>
              <m:sSubPr>
                <m:ctrlPr>
                  <w:rPr>
                    <w:rFonts w:ascii="Cambria Math" w:hAnsi="Cambria Math" w:cs="Times New Roman"/>
                    <w:i/>
                    <w:color w:val="000000" w:themeColor="text1"/>
                  </w:rPr>
                </m:ctrlPr>
              </m:sSubPr>
              <m:e>
                <m:r>
                  <w:rPr>
                    <w:rFonts w:ascii="Cambria Math" w:hAnsi="Cambria Math" w:cs="Times New Roman"/>
                    <w:color w:val="000000" w:themeColor="text1"/>
                  </w:rPr>
                  <m:t>F</m:t>
                </m:r>
              </m:e>
              <m:sub>
                <m:r>
                  <w:rPr>
                    <w:rFonts w:ascii="Cambria Math" w:hAnsi="Cambria Math" w:cs="Times New Roman"/>
                    <w:color w:val="000000" w:themeColor="text1"/>
                  </w:rPr>
                  <m:t>i</m:t>
                </m:r>
              </m:sub>
            </m:sSub>
          </m:den>
        </m:f>
      </m:oMath>
      <w:r w:rsidR="00A37E4C" w:rsidRPr="00D36C0C">
        <w:rPr>
          <w:rFonts w:ascii="Charter BT" w:hAnsi="Charter BT" w:cs="Times New Roman"/>
          <w:color w:val="000000" w:themeColor="text1"/>
        </w:rPr>
        <w:t xml:space="preserve">    (1)</w:t>
      </w:r>
    </w:p>
    <w:p w14:paraId="277DAE02" w14:textId="77777777" w:rsidR="00934A33" w:rsidRPr="00D36C0C" w:rsidRDefault="00934A33" w:rsidP="00213CFE">
      <w:pPr>
        <w:jc w:val="both"/>
        <w:rPr>
          <w:rFonts w:ascii="Charter BT" w:hAnsi="Charter BT" w:hint="eastAsia"/>
        </w:rPr>
      </w:pPr>
    </w:p>
    <w:p w14:paraId="1B895813" w14:textId="77777777" w:rsidR="00934A33" w:rsidRPr="00D36C0C" w:rsidRDefault="00934A33" w:rsidP="00934A33">
      <w:pPr>
        <w:spacing w:line="480" w:lineRule="auto"/>
        <w:ind w:left="-142" w:right="-46" w:firstLine="420"/>
        <w:jc w:val="both"/>
        <w:rPr>
          <w:rFonts w:ascii="Charter BT" w:hAnsi="Charter BT" w:cs="Times New Roman" w:hint="eastAsia"/>
          <w:color w:val="000000" w:themeColor="text1"/>
        </w:rPr>
      </w:pPr>
      <w:r w:rsidRPr="00D36C0C">
        <w:rPr>
          <w:rFonts w:ascii="Charter BT" w:hAnsi="Charter BT" w:cs="Times New Roman"/>
          <w:color w:val="000000" w:themeColor="text1"/>
        </w:rPr>
        <w:t xml:space="preserve">We calculate the catchment area of the location </w:t>
      </w:r>
      <m:oMath>
        <m:r>
          <w:rPr>
            <w:rFonts w:ascii="Cambria Math" w:hAnsi="Cambria Math" w:cs="Times New Roman"/>
            <w:color w:val="000000" w:themeColor="text1"/>
          </w:rPr>
          <m:t>i</m:t>
        </m:r>
      </m:oMath>
      <w:r w:rsidRPr="00D36C0C">
        <w:rPr>
          <w:rFonts w:ascii="Charter BT" w:hAnsi="Charter BT" w:cs="Times New Roman"/>
          <w:iCs/>
          <w:color w:val="000000" w:themeColor="text1"/>
        </w:rPr>
        <w:t xml:space="preserve"> based </w:t>
      </w:r>
      <w:r w:rsidRPr="00D36C0C">
        <w:rPr>
          <w:rFonts w:ascii="Charter BT" w:hAnsi="Charter BT" w:cs="Times New Roman"/>
          <w:color w:val="000000" w:themeColor="text1"/>
        </w:rPr>
        <w:t xml:space="preserve">on the three-dimensional pedestrian networks. </w:t>
      </w:r>
      <w:r w:rsidRPr="00D36C0C">
        <w:rPr>
          <w:rFonts w:ascii="Charter BT" w:hAnsi="Charter BT" w:cs="Times New Roman"/>
          <w:iCs/>
          <w:color w:val="000000" w:themeColor="text1"/>
        </w:rPr>
        <w:t>The formula is as follows:</w:t>
      </w:r>
    </w:p>
    <w:bookmarkStart w:id="3" w:name="OLE_LINK4"/>
    <w:bookmarkStart w:id="4" w:name="OLE_LINK3"/>
    <w:p w14:paraId="2CE77857" w14:textId="77777777" w:rsidR="00A37E4C" w:rsidRPr="00D36C0C" w:rsidRDefault="00000000" w:rsidP="00A37E4C">
      <w:pPr>
        <w:spacing w:line="480" w:lineRule="auto"/>
        <w:ind w:left="-142" w:right="-46" w:firstLine="420"/>
        <w:jc w:val="center"/>
        <w:rPr>
          <w:rFonts w:ascii="Charter BT" w:hAnsi="Charter BT" w:cs="Times New Roman" w:hint="eastAsia"/>
          <w:color w:val="000000" w:themeColor="text1"/>
        </w:rPr>
      </w:pPr>
      <m:oMath>
        <m:sSub>
          <m:sSubPr>
            <m:ctrlPr>
              <w:rPr>
                <w:rFonts w:ascii="Cambria Math" w:hAnsi="Cambria Math" w:cs="Times New Roman"/>
                <w:i/>
                <w:color w:val="000000" w:themeColor="text1"/>
              </w:rPr>
            </m:ctrlPr>
          </m:sSubPr>
          <m:e>
            <m:r>
              <w:rPr>
                <w:rFonts w:ascii="Cambria Math" w:hAnsi="Cambria Math" w:cs="Times New Roman"/>
                <w:color w:val="000000" w:themeColor="text1"/>
              </w:rPr>
              <m:t>Con</m:t>
            </m:r>
          </m:e>
          <m:sub>
            <m:r>
              <w:rPr>
                <w:rFonts w:ascii="Cambria Math" w:hAnsi="Cambria Math" w:cs="Times New Roman"/>
                <w:color w:val="000000" w:themeColor="text1"/>
              </w:rPr>
              <m:t>i</m:t>
            </m:r>
          </m:sub>
        </m:sSub>
        <w:bookmarkEnd w:id="3"/>
        <w:bookmarkEnd w:id="4"/>
        <m:r>
          <w:rPr>
            <w:rFonts w:ascii="Cambria Math" w:hAnsi="Cambria Math" w:cs="Times New Roman"/>
            <w:color w:val="000000" w:themeColor="text1"/>
          </w:rPr>
          <m:t>=</m:t>
        </m:r>
        <m:nary>
          <m:naryPr>
            <m:chr m:val="∑"/>
            <m:limLoc m:val="undOvr"/>
            <m:ctrlPr>
              <w:rPr>
                <w:rFonts w:ascii="Cambria Math" w:hAnsi="Cambria Math" w:cs="Times New Roman"/>
                <w:i/>
                <w:color w:val="000000" w:themeColor="text1"/>
              </w:rPr>
            </m:ctrlPr>
          </m:naryPr>
          <m:sub>
            <m:r>
              <w:rPr>
                <w:rFonts w:ascii="Cambria Math" w:hAnsi="Cambria Math" w:cs="Times New Roman"/>
                <w:color w:val="000000" w:themeColor="text1"/>
              </w:rPr>
              <m:t>i=0</m:t>
            </m:r>
          </m:sub>
          <m:sup>
            <m:r>
              <w:rPr>
                <w:rFonts w:ascii="Cambria Math" w:hAnsi="Cambria Math" w:cs="Times New Roman"/>
                <w:color w:val="000000" w:themeColor="text1"/>
              </w:rPr>
              <m:t>j</m:t>
            </m:r>
          </m:sup>
          <m:e>
            <m:f>
              <m:fPr>
                <m:ctrlPr>
                  <w:rPr>
                    <w:rFonts w:ascii="Cambria Math" w:hAnsi="Cambria Math" w:cs="Times New Roman"/>
                    <w:i/>
                    <w:color w:val="000000" w:themeColor="text1"/>
                  </w:rPr>
                </m:ctrlPr>
              </m:fPr>
              <m:num>
                <m:sSub>
                  <m:sSubPr>
                    <m:ctrlPr>
                      <w:rPr>
                        <w:rFonts w:ascii="Cambria Math" w:hAnsi="Cambria Math" w:cs="Times New Roman"/>
                        <w:i/>
                        <w:color w:val="000000" w:themeColor="text1"/>
                      </w:rPr>
                    </m:ctrlPr>
                  </m:sSubPr>
                  <m:e>
                    <m:r>
                      <w:rPr>
                        <w:rFonts w:ascii="Cambria Math" w:hAnsi="Cambria Math" w:cs="Times New Roman"/>
                        <w:color w:val="000000" w:themeColor="text1"/>
                      </w:rPr>
                      <m:t>W</m:t>
                    </m:r>
                  </m:e>
                  <m:sub>
                    <m:r>
                      <w:rPr>
                        <w:rFonts w:ascii="Cambria Math" w:hAnsi="Cambria Math" w:cs="Times New Roman"/>
                        <w:color w:val="000000" w:themeColor="text1"/>
                      </w:rPr>
                      <m:t>j</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L</m:t>
                    </m:r>
                  </m:e>
                  <m:sub>
                    <m:r>
                      <w:rPr>
                        <w:rFonts w:ascii="Cambria Math" w:hAnsi="Cambria Math" w:cs="Times New Roman"/>
                        <w:color w:val="000000" w:themeColor="text1"/>
                      </w:rPr>
                      <m:t>j</m:t>
                    </m:r>
                  </m:sub>
                </m:sSub>
              </m:num>
              <m:den>
                <m:sSub>
                  <m:sSubPr>
                    <m:ctrlPr>
                      <w:rPr>
                        <w:rFonts w:ascii="Cambria Math" w:hAnsi="Cambria Math" w:cs="Times New Roman"/>
                        <w:i/>
                        <w:color w:val="000000" w:themeColor="text1"/>
                      </w:rPr>
                    </m:ctrlPr>
                  </m:sSubPr>
                  <m:e>
                    <m:r>
                      <w:rPr>
                        <w:rFonts w:ascii="Cambria Math" w:hAnsi="Cambria Math" w:cs="Times New Roman"/>
                        <w:color w:val="000000" w:themeColor="text1"/>
                      </w:rPr>
                      <m:t>S</m:t>
                    </m:r>
                  </m:e>
                  <m:sub>
                    <m:r>
                      <w:rPr>
                        <w:rFonts w:ascii="Cambria Math" w:hAnsi="Cambria Math" w:cs="Times New Roman"/>
                        <w:color w:val="000000" w:themeColor="text1"/>
                      </w:rPr>
                      <m:t>i</m:t>
                    </m:r>
                  </m:sub>
                </m:sSub>
              </m:den>
            </m:f>
          </m:e>
        </m:nary>
      </m:oMath>
      <w:r w:rsidR="00934A33" w:rsidRPr="00D36C0C">
        <w:rPr>
          <w:rFonts w:ascii="Charter BT" w:hAnsi="Charter BT" w:cs="Times New Roman"/>
          <w:color w:val="000000" w:themeColor="text1"/>
        </w:rPr>
        <w:t xml:space="preserve">    (3)</w:t>
      </w:r>
    </w:p>
    <w:p w14:paraId="1D4D4E5C" w14:textId="33144D55" w:rsidR="00A7265B" w:rsidRPr="00D36C0C" w:rsidRDefault="00213CFE" w:rsidP="00A37E4C">
      <w:pPr>
        <w:jc w:val="both"/>
        <w:rPr>
          <w:rFonts w:ascii="Charter BT" w:hAnsi="Charter BT" w:cs="Times New Roman" w:hint="eastAsia"/>
          <w:color w:val="000000" w:themeColor="text1"/>
        </w:rPr>
      </w:pPr>
      <w:r w:rsidRPr="00D36C0C">
        <w:rPr>
          <w:rFonts w:ascii="Charter BT" w:hAnsi="Charter BT"/>
        </w:rPr>
        <w:br/>
      </w:r>
      <w:r w:rsidRPr="00D36C0C">
        <w:rPr>
          <w:rFonts w:ascii="Charter BT" w:hAnsi="Charter BT"/>
        </w:rPr>
        <w:br/>
        <w:t xml:space="preserve">3. I do not understand what a “catchment” is for a building, is this an isochrone? What is the width of the isochrone along street segments? I don’t understand the overlapping part – </w:t>
      </w:r>
      <w:bookmarkStart w:id="5" w:name="OLE_LINK1"/>
      <w:r w:rsidRPr="00D36C0C">
        <w:rPr>
          <w:rFonts w:ascii="Charter BT" w:hAnsi="Charter BT"/>
        </w:rPr>
        <w:t>if every building has a 400m isochrone then they must all be overlapping each other?</w:t>
      </w:r>
      <w:bookmarkEnd w:id="5"/>
    </w:p>
    <w:p w14:paraId="522566F6" w14:textId="77777777" w:rsidR="00656D9E" w:rsidRPr="00D36C0C" w:rsidRDefault="00656D9E" w:rsidP="00213CFE">
      <w:pPr>
        <w:jc w:val="both"/>
        <w:rPr>
          <w:rFonts w:ascii="Charter BT" w:hAnsi="Charter BT" w:hint="eastAsia"/>
        </w:rPr>
      </w:pPr>
    </w:p>
    <w:p w14:paraId="4BEDAF8D" w14:textId="6DC30802" w:rsidR="00A22B8E" w:rsidRPr="00D36C0C" w:rsidRDefault="00A7265B" w:rsidP="00D17965">
      <w:pPr>
        <w:ind w:left="-426" w:firstLine="426"/>
        <w:jc w:val="both"/>
        <w:rPr>
          <w:rFonts w:ascii="Charter BT" w:hAnsi="Charter BT" w:hint="eastAsia"/>
        </w:rPr>
      </w:pPr>
      <w:r w:rsidRPr="00D36C0C">
        <w:rPr>
          <w:rFonts w:ascii="Charter BT" w:hAnsi="Charter BT"/>
          <w:b/>
          <w:bCs/>
        </w:rPr>
        <w:t>Response:</w:t>
      </w:r>
      <w:r w:rsidRPr="00D36C0C">
        <w:rPr>
          <w:rFonts w:ascii="Charter BT" w:hAnsi="Charter BT"/>
        </w:rPr>
        <w:t xml:space="preserve"> </w:t>
      </w:r>
      <w:r w:rsidR="00A22B8E" w:rsidRPr="00D36C0C">
        <w:rPr>
          <w:rFonts w:ascii="Charter BT" w:hAnsi="Charter BT"/>
        </w:rPr>
        <w:t xml:space="preserve">Thank you for your comments. In this study, the catchment </w:t>
      </w:r>
      <w:r w:rsidR="001C5BD9" w:rsidRPr="00D36C0C">
        <w:rPr>
          <w:rFonts w:ascii="Charter BT" w:hAnsi="Charter BT"/>
        </w:rPr>
        <w:t xml:space="preserve">area </w:t>
      </w:r>
      <w:r w:rsidR="00A22B8E" w:rsidRPr="00D36C0C">
        <w:rPr>
          <w:rFonts w:ascii="Charter BT" w:hAnsi="Charter BT"/>
        </w:rPr>
        <w:t xml:space="preserve">for a building is defined by a 400-metre equidistant line, representing the area that can be reached within </w:t>
      </w:r>
      <w:r w:rsidR="001C5BD9" w:rsidRPr="00D36C0C">
        <w:rPr>
          <w:rFonts w:ascii="Charter BT" w:hAnsi="Charter BT"/>
        </w:rPr>
        <w:t>a 400-metre</w:t>
      </w:r>
      <w:r w:rsidR="00A22B8E" w:rsidRPr="00D36C0C">
        <w:rPr>
          <w:rFonts w:ascii="Charter BT" w:hAnsi="Charter BT"/>
        </w:rPr>
        <w:t xml:space="preserve"> walking distance from the building. Both isochrone and equidistance lines are widely used in spatial analysis for calculating accessibility. In our context, catchments for different buildings overlap, especially when adjacent or nearby buildings have intersecting 400-metre equidistant lines. We specifically used equidistant lines to illustrate how accessible areas radiate from individual buildings and how these areas are spatially configured. Isochrone lines, which represent areas accessible within a certain travel time, were not used in this study because factors such as traffic barriers and terrain can significantly influence walking time in Hong Kong. Modelling isochrone lines in this context would require additional assumptions, making equidistant lines a more straightforward and transparent choice for our analytical purposes.</w:t>
      </w:r>
    </w:p>
    <w:p w14:paraId="11C772CC" w14:textId="43088CCB" w:rsidR="00A7265B" w:rsidRPr="00D36C0C" w:rsidRDefault="00213CFE" w:rsidP="00213CFE">
      <w:pPr>
        <w:jc w:val="both"/>
        <w:rPr>
          <w:rFonts w:ascii="Charter BT" w:hAnsi="Charter BT" w:hint="eastAsia"/>
        </w:rPr>
      </w:pPr>
      <w:r w:rsidRPr="00D36C0C">
        <w:rPr>
          <w:rFonts w:ascii="Charter BT" w:hAnsi="Charter BT"/>
        </w:rPr>
        <w:br/>
      </w:r>
      <w:r w:rsidRPr="00D36C0C">
        <w:rPr>
          <w:rFonts w:ascii="Charter BT" w:hAnsi="Charter BT"/>
        </w:rPr>
        <w:br/>
        <w:t>4.Findings</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Discussion</w:t>
      </w:r>
      <w:r w:rsidR="00152CA1" w:rsidRPr="00D36C0C">
        <w:rPr>
          <w:rFonts w:ascii="Charter BT" w:hAnsi="Charter BT"/>
        </w:rPr>
        <w:t xml:space="preserve">: </w:t>
      </w:r>
      <w:r w:rsidRPr="00D36C0C">
        <w:rPr>
          <w:rFonts w:ascii="Charter BT" w:hAnsi="Charter BT"/>
        </w:rPr>
        <w:t>The reviewers have pressed the authors to extract more meaning from the results, with the current discussions pretty dry, or “banal” to use a word from another reviewer. Again</w:t>
      </w:r>
      <w:r w:rsidR="00C96AEE" w:rsidRPr="00D36C0C">
        <w:rPr>
          <w:rFonts w:ascii="Charter BT" w:hAnsi="Charter BT"/>
        </w:rPr>
        <w:t>,</w:t>
      </w:r>
      <w:r w:rsidRPr="00D36C0C">
        <w:rPr>
          <w:rFonts w:ascii="Charter BT" w:hAnsi="Charter BT"/>
        </w:rPr>
        <w:t xml:space="preserve"> in the revision</w:t>
      </w:r>
      <w:r w:rsidR="00C96AEE" w:rsidRPr="00D36C0C">
        <w:rPr>
          <w:rFonts w:ascii="Charter BT" w:hAnsi="Charter BT"/>
        </w:rPr>
        <w:t>,</w:t>
      </w:r>
      <w:r w:rsidRPr="00D36C0C">
        <w:rPr>
          <w:rFonts w:ascii="Charter BT" w:hAnsi="Charter BT"/>
        </w:rPr>
        <w:t xml:space="preserve"> I think the authors fail to tap into anything particularly novel through this work</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the conclusions remain quite thin.</w:t>
      </w:r>
    </w:p>
    <w:p w14:paraId="74C5D95D" w14:textId="77777777" w:rsidR="006C7342" w:rsidRPr="00D36C0C" w:rsidRDefault="006C7342" w:rsidP="00213CFE">
      <w:pPr>
        <w:jc w:val="both"/>
        <w:rPr>
          <w:rFonts w:ascii="Charter BT" w:hAnsi="Charter BT" w:hint="eastAsia"/>
        </w:rPr>
      </w:pPr>
    </w:p>
    <w:p w14:paraId="708F0378" w14:textId="6E171C20" w:rsidR="00623E47" w:rsidRPr="00D36C0C" w:rsidRDefault="00A7265B" w:rsidP="0089041B">
      <w:pPr>
        <w:ind w:left="-426" w:firstLine="426"/>
        <w:jc w:val="both"/>
        <w:rPr>
          <w:rFonts w:ascii="Charter BT" w:hAnsi="Charter BT" w:hint="eastAsia"/>
          <w:b/>
          <w:bCs/>
        </w:rPr>
      </w:pPr>
      <w:r w:rsidRPr="00D36C0C">
        <w:rPr>
          <w:rFonts w:ascii="Charter BT" w:hAnsi="Charter BT"/>
          <w:b/>
          <w:bCs/>
        </w:rPr>
        <w:t>Response:</w:t>
      </w:r>
      <w:r w:rsidR="00623E47" w:rsidRPr="00D36C0C">
        <w:rPr>
          <w:rFonts w:ascii="Charter BT" w:hAnsi="Charter BT"/>
          <w:b/>
          <w:bCs/>
        </w:rPr>
        <w:t xml:space="preserve"> </w:t>
      </w:r>
      <w:r w:rsidR="0051550C" w:rsidRPr="00D36C0C">
        <w:rPr>
          <w:rFonts w:ascii="Charter BT" w:hAnsi="Charter BT"/>
        </w:rPr>
        <w:t xml:space="preserve">Thank you very much for your comments. We agree that the discussion section could be improved, and we have thoroughly revised it in this round of revision. In the </w:t>
      </w:r>
      <w:r w:rsidR="00370111" w:rsidRPr="00D36C0C">
        <w:rPr>
          <w:rFonts w:ascii="Charter BT" w:hAnsi="Charter BT"/>
        </w:rPr>
        <w:t xml:space="preserve">revised </w:t>
      </w:r>
      <w:r w:rsidR="0051550C" w:rsidRPr="00D36C0C">
        <w:rPr>
          <w:rFonts w:ascii="Charter BT" w:hAnsi="Charter BT"/>
        </w:rPr>
        <w:t>discussion, we focused on three main areas: 1. The synergy between multi-level connectivity, TOD, and volumetric design, based on our findings. 2. The debate, discussion, and extension of current measurements and understandings of mix, density, and connectedness in urban design and form. 3. An extended discussion of the differences between volumetric and TOD intensity in the study area, along with the underlying reasons for these differences.</w:t>
      </w:r>
    </w:p>
    <w:p w14:paraId="4DF46BC0" w14:textId="77777777" w:rsidR="00256881" w:rsidRPr="00D36C0C" w:rsidRDefault="00F2177D" w:rsidP="00256881">
      <w:pPr>
        <w:ind w:left="-426" w:firstLine="426"/>
        <w:jc w:val="both"/>
        <w:rPr>
          <w:rFonts w:ascii="Charter BT" w:hAnsi="Charter BT" w:hint="eastAsia"/>
          <w:color w:val="5B9BD5" w:themeColor="accent5"/>
        </w:rPr>
      </w:pPr>
      <w:r w:rsidRPr="00D36C0C">
        <w:rPr>
          <w:rFonts w:ascii="Charter BT" w:hAnsi="Charter BT"/>
          <w:color w:val="5B9BD5" w:themeColor="accent5"/>
        </w:rPr>
        <w:t>“</w:t>
      </w:r>
      <w:r w:rsidR="00256881" w:rsidRPr="00D36C0C">
        <w:rPr>
          <w:rFonts w:ascii="Charter BT" w:hAnsi="Charter BT"/>
          <w:color w:val="5B9BD5" w:themeColor="accent5"/>
        </w:rPr>
        <w:t>This study presents an operationalised and replicable framework for measuring volumetric urban design, focusing on compression, connectedness, and functional mix. By developing and applying these new measures, we reveal the unique spatial logic and functional organisation of volumetric urban environments, highlighting vertical zoning and dense, interconnected spaces that traditional two-dimensional approaches overlook. Our analysis demonstrates that conventional metrics cannot capture the complexity of Hong Kong’s high-density, transit-oriented settings, which are defined by multi-level pedestrian networks and integrated metro stations following TOD principles. These findings underscore the need for new frameworks to guide urban analysis, design, and policy in high-density cities shaped by volumetric development.</w:t>
      </w:r>
    </w:p>
    <w:p w14:paraId="34D68555" w14:textId="77777777" w:rsidR="00256881" w:rsidRPr="00D36C0C" w:rsidRDefault="00256881" w:rsidP="00256881">
      <w:pPr>
        <w:ind w:left="-426" w:firstLine="426"/>
        <w:jc w:val="both"/>
        <w:rPr>
          <w:rFonts w:ascii="Charter BT" w:hAnsi="Charter BT" w:hint="eastAsia"/>
          <w:color w:val="5B9BD5" w:themeColor="accent5"/>
        </w:rPr>
      </w:pPr>
      <w:r w:rsidRPr="00D36C0C">
        <w:rPr>
          <w:rFonts w:ascii="Charter BT" w:hAnsi="Charter BT"/>
          <w:color w:val="5B9BD5" w:themeColor="accent5"/>
        </w:rPr>
        <w:lastRenderedPageBreak/>
        <w:t>Specifically, our findings highlight that multi-level pedestrian networks and metro stations support connectedness, compression, and functional mix in volumetric design. These results are consistent with previous qualitative observations that podium decks serve as new "grounds" for towers, while bridges and ramps connect multiple layers to create multi-level environments around station catchment areas (Shelton et al., 2013; Tan &amp; QL Xue, 2014). Often realised as privately owned public spaces, multi-level walkways not only expand connectivity and enable denser urban forms but also enhance the spatial configuration of shopping and service sectors. Our study further demonstrates that elevated walkways alter the functional mix at multiple scales by connecting diverse building types—such as atria, podiums, and towers—across different levels. Moreover, since the principles underlying these three volumetric elements closely align with TOD strategies in high-density cities, multi-level pedestrian networks around metro stations foster integrated urban fabrics characterised by both high volumetric intensity and TOD features.</w:t>
      </w:r>
    </w:p>
    <w:p w14:paraId="24C5ECE4" w14:textId="77777777" w:rsidR="00256881" w:rsidRPr="00D36C0C" w:rsidRDefault="00256881" w:rsidP="00256881">
      <w:pPr>
        <w:ind w:left="-426" w:firstLine="426"/>
        <w:jc w:val="both"/>
        <w:rPr>
          <w:rFonts w:ascii="Charter BT" w:hAnsi="Charter BT" w:hint="eastAsia"/>
          <w:color w:val="5B9BD5" w:themeColor="accent5"/>
        </w:rPr>
      </w:pPr>
      <w:r w:rsidRPr="00D36C0C">
        <w:rPr>
          <w:rFonts w:ascii="Charter BT" w:hAnsi="Charter BT"/>
          <w:color w:val="5B9BD5" w:themeColor="accent5"/>
        </w:rPr>
        <w:t>Our compression measure defines the opportunity to access destinations from a given building, including those reachable via connected pedestrian networks. Our findings reveal how urban functions cluster and interact in high-density environments. The spatial distribution of compression highlights how building spaces function as nexuses between spatial form and urban activity, and shows how small areas (e.g., 5-minute neighbourhoods) are functionally organised. Our analysis highlights the crucial role of three-dimensional pedestrian networks in amplifying the intensity of these clusters, rendering compression a valuable proxy for estimating potential users, pedestrian flows, and overall urban vibrancy at a fine-grained level in the volumetric city.</w:t>
      </w:r>
    </w:p>
    <w:p w14:paraId="581DA697" w14:textId="77777777" w:rsidR="00256881" w:rsidRPr="00D36C0C" w:rsidRDefault="00256881" w:rsidP="00256881">
      <w:pPr>
        <w:ind w:left="-426" w:firstLine="426"/>
        <w:jc w:val="both"/>
        <w:rPr>
          <w:rFonts w:ascii="Charter BT" w:hAnsi="Charter BT" w:hint="eastAsia"/>
          <w:color w:val="5B9BD5" w:themeColor="accent5"/>
        </w:rPr>
      </w:pPr>
      <w:r w:rsidRPr="00D36C0C">
        <w:rPr>
          <w:rFonts w:ascii="Charter BT" w:hAnsi="Charter BT"/>
          <w:color w:val="5B9BD5" w:themeColor="accent5"/>
        </w:rPr>
        <w:t>Our findings indicate that the combination of permeability and street width determines interface catchments, which in turn influence the proportion of walkable public areas. These aggregated catchments determine the capacity for pedestrian movement, spatial integration and interaction from a street design perspective. In the two case sites, only 1% to 10% space relative to catchment areas was open to flexible and efficient movement for pedestrians, highlighting the spatial constraints in dense environments like Hong Kong. Given these limitations, expanding street links or width at ground level is rarely feasible. Instead, multi-layered pedestrian networks—developed by both public and private sectors—have become essential for increasing route options and overall connectedness. This approach diversifies access and improves station catchment areas, and supports successful TOD implementation. In such cases, differences in connectedness levels between areas primarily reflect the extent of vertical network expansion, highlighting the proactive role of planners, designers, and developers in overcoming land-use constraints by creating privately owned public spaces.</w:t>
      </w:r>
    </w:p>
    <w:p w14:paraId="1091BFBF" w14:textId="4FFBEA6B" w:rsidR="00623E47" w:rsidRPr="00D36C0C" w:rsidRDefault="00256881" w:rsidP="00256881">
      <w:pPr>
        <w:ind w:left="-426" w:firstLine="426"/>
        <w:jc w:val="both"/>
        <w:rPr>
          <w:rFonts w:ascii="Charter BT" w:hAnsi="Charter BT" w:hint="eastAsia"/>
          <w:color w:val="5B9BD5" w:themeColor="accent5"/>
        </w:rPr>
      </w:pPr>
      <w:r w:rsidRPr="00D36C0C">
        <w:rPr>
          <w:rFonts w:ascii="Charter BT" w:hAnsi="Charter BT"/>
          <w:color w:val="5B9BD5" w:themeColor="accent5"/>
        </w:rPr>
        <w:t xml:space="preserve">This study introduces fine-grained measures of both overall and vertical functional mix. The results show that functional mix exceeds 50% within individual buildings and </w:t>
      </w:r>
      <w:r w:rsidRPr="00D36C0C">
        <w:rPr>
          <w:rFonts w:ascii="Charter BT" w:hAnsi="Charter BT"/>
          <w:color w:val="5B9BD5" w:themeColor="accent5"/>
        </w:rPr>
        <w:lastRenderedPageBreak/>
        <w:t>is over 20% in vertical above-ground spaces, providing strong quantitative evidence of evolving land use and architectural strategies in Hong Kong’s city centre. This scale of functional mix extends beyond single land plots, spanning from colonial-era buildings to modern complexes (Shelton et al., 2013). It maximises daily service provision within blocks or even single buildings. Our findings confirm the prevalence and visualise the distribution of combined work and visit functions, reflected in the high concentration of services, shops, and restaurants (Zacharias &amp; He, 2018).  The observed vertical functional mix further illustrates how activities and spaces are organised through innovative building typologies (e.g., podiums and atria), as well as the adaptive reuse of older structures in Hong Kong with the advancement of vertical connections (Shelton et al., 2013)</w:t>
      </w:r>
      <w:r w:rsidR="00CA0E7C" w:rsidRPr="00D36C0C">
        <w:rPr>
          <w:rFonts w:ascii="Charter BT" w:hAnsi="Charter BT"/>
          <w:color w:val="5B9BD5" w:themeColor="accent5"/>
        </w:rPr>
        <w:t xml:space="preserve"> </w:t>
      </w:r>
      <w:r w:rsidR="002226D9" w:rsidRPr="00D36C0C">
        <w:rPr>
          <w:rFonts w:ascii="Charter BT" w:hAnsi="Charter BT"/>
          <w:color w:val="5B9BD5" w:themeColor="accent5"/>
        </w:rPr>
        <w:t xml:space="preserve">(Line </w:t>
      </w:r>
      <w:r w:rsidR="00DB7E5F" w:rsidRPr="00D36C0C">
        <w:rPr>
          <w:rFonts w:ascii="Charter BT" w:hAnsi="Charter BT"/>
          <w:color w:val="5B9BD5" w:themeColor="accent5"/>
        </w:rPr>
        <w:t>4</w:t>
      </w:r>
      <w:r w:rsidRPr="00D36C0C">
        <w:rPr>
          <w:rFonts w:ascii="Charter BT" w:hAnsi="Charter BT"/>
          <w:color w:val="5B9BD5" w:themeColor="accent5"/>
        </w:rPr>
        <w:t>67</w:t>
      </w:r>
      <w:r w:rsidR="002226D9" w:rsidRPr="00D36C0C">
        <w:rPr>
          <w:rFonts w:ascii="Charter BT" w:hAnsi="Charter BT"/>
          <w:color w:val="5B9BD5" w:themeColor="accent5"/>
        </w:rPr>
        <w:t>-</w:t>
      </w:r>
      <w:r w:rsidR="00DB7E5F" w:rsidRPr="00D36C0C">
        <w:rPr>
          <w:rFonts w:ascii="Charter BT" w:hAnsi="Charter BT"/>
          <w:color w:val="5B9BD5" w:themeColor="accent5"/>
        </w:rPr>
        <w:t>5</w:t>
      </w:r>
      <w:r w:rsidRPr="00D36C0C">
        <w:rPr>
          <w:rFonts w:ascii="Charter BT" w:hAnsi="Charter BT"/>
          <w:color w:val="5B9BD5" w:themeColor="accent5"/>
        </w:rPr>
        <w:t>20</w:t>
      </w:r>
      <w:r w:rsidR="002226D9" w:rsidRPr="00D36C0C">
        <w:rPr>
          <w:rFonts w:ascii="Charter BT" w:hAnsi="Charter BT"/>
          <w:color w:val="5B9BD5" w:themeColor="accent5"/>
        </w:rPr>
        <w:t>)</w:t>
      </w:r>
      <w:r w:rsidR="00F2177D" w:rsidRPr="00D36C0C">
        <w:rPr>
          <w:rFonts w:ascii="Charter BT" w:hAnsi="Charter BT"/>
          <w:color w:val="5B9BD5" w:themeColor="accent5"/>
        </w:rPr>
        <w:t>”</w:t>
      </w:r>
      <w:r w:rsidR="00152CA1" w:rsidRPr="00D36C0C">
        <w:rPr>
          <w:rFonts w:ascii="Charter BT" w:hAnsi="Charter BT"/>
          <w:color w:val="5B9BD5" w:themeColor="accent5"/>
        </w:rPr>
        <w:t>.</w:t>
      </w:r>
    </w:p>
    <w:p w14:paraId="38B02426" w14:textId="1D31EEFE" w:rsidR="00A7265B" w:rsidRPr="00D36C0C" w:rsidRDefault="00213CFE" w:rsidP="00213CFE">
      <w:pPr>
        <w:jc w:val="both"/>
        <w:rPr>
          <w:rFonts w:ascii="Charter BT" w:hAnsi="Charter BT" w:hint="eastAsia"/>
        </w:rPr>
      </w:pPr>
      <w:r w:rsidRPr="00D36C0C">
        <w:rPr>
          <w:rFonts w:ascii="Charter BT" w:hAnsi="Charter BT"/>
        </w:rPr>
        <w:br/>
      </w:r>
      <w:r w:rsidR="00C20D6F" w:rsidRPr="00D36C0C">
        <w:rPr>
          <w:rFonts w:ascii="Charter BT" w:hAnsi="Charter BT"/>
        </w:rPr>
        <w:t xml:space="preserve">5. </w:t>
      </w:r>
      <w:r w:rsidRPr="00D36C0C">
        <w:rPr>
          <w:rFonts w:ascii="Charter BT" w:hAnsi="Charter BT"/>
        </w:rPr>
        <w:t>How does the concept of TOD, which is classically about promoting high-density, mixed-use,</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pedestrian-friendly development around transit stations (generally located in more suburban areas to promote increased ridership) relate to the volumetric properties of the downtown/CBD of a major city? Is invoking the TOD concept for these case study locations relevant here?</w:t>
      </w:r>
    </w:p>
    <w:p w14:paraId="3C4C6F08" w14:textId="77777777" w:rsidR="00C20D6F" w:rsidRPr="00D36C0C" w:rsidRDefault="00C20D6F" w:rsidP="00213CFE">
      <w:pPr>
        <w:jc w:val="both"/>
        <w:rPr>
          <w:rFonts w:ascii="Charter BT" w:hAnsi="Charter BT" w:hint="eastAsia"/>
        </w:rPr>
      </w:pPr>
    </w:p>
    <w:p w14:paraId="6513B160" w14:textId="003FC360" w:rsidR="003554BE" w:rsidRPr="00D36C0C" w:rsidRDefault="00A7265B" w:rsidP="00D94F96">
      <w:pPr>
        <w:ind w:left="-426" w:firstLine="426"/>
        <w:jc w:val="both"/>
        <w:rPr>
          <w:rFonts w:ascii="Charter BT" w:hAnsi="Charter BT" w:hint="eastAsia"/>
        </w:rPr>
      </w:pPr>
      <w:r w:rsidRPr="00D36C0C">
        <w:rPr>
          <w:rFonts w:ascii="Charter BT" w:hAnsi="Charter BT"/>
          <w:b/>
          <w:bCs/>
        </w:rPr>
        <w:t>Response:</w:t>
      </w:r>
      <w:r w:rsidR="00BB41B2" w:rsidRPr="00D36C0C">
        <w:rPr>
          <w:rFonts w:ascii="Charter BT" w:hAnsi="Charter BT"/>
        </w:rPr>
        <w:t xml:space="preserve"> </w:t>
      </w:r>
      <w:r w:rsidR="003554BE" w:rsidRPr="00D36C0C">
        <w:rPr>
          <w:rFonts w:ascii="Charter BT" w:hAnsi="Charter BT"/>
        </w:rPr>
        <w:t>Thank you for your comment. While TOD is often associated with suburban areas in North America, in Asian cities like Hong Kong</w:t>
      </w:r>
      <w:r w:rsidR="00E20E3A" w:rsidRPr="00D36C0C">
        <w:rPr>
          <w:rFonts w:ascii="Charter BT" w:hAnsi="Charter BT"/>
        </w:rPr>
        <w:t>, Shenzhen</w:t>
      </w:r>
      <w:r w:rsidR="00971E86" w:rsidRPr="00D36C0C">
        <w:rPr>
          <w:rFonts w:ascii="Charter BT" w:hAnsi="Charter BT"/>
        </w:rPr>
        <w:t>,</w:t>
      </w:r>
      <w:r w:rsidR="003554BE" w:rsidRPr="00D36C0C">
        <w:rPr>
          <w:rFonts w:ascii="Charter BT" w:hAnsi="Charter BT"/>
        </w:rPr>
        <w:t xml:space="preserve"> and Tokyo, TOD principles </w:t>
      </w:r>
      <w:r w:rsidR="00971E86" w:rsidRPr="00D36C0C">
        <w:rPr>
          <w:rFonts w:ascii="Charter BT" w:hAnsi="Charter BT"/>
        </w:rPr>
        <w:t>can</w:t>
      </w:r>
      <w:r w:rsidR="003554BE" w:rsidRPr="00D36C0C">
        <w:rPr>
          <w:rFonts w:ascii="Charter BT" w:hAnsi="Charter BT"/>
        </w:rPr>
        <w:t xml:space="preserve"> also </w:t>
      </w:r>
      <w:r w:rsidR="00373041" w:rsidRPr="00D36C0C">
        <w:rPr>
          <w:rFonts w:ascii="Charter BT" w:hAnsi="Charter BT"/>
        </w:rPr>
        <w:t xml:space="preserve">be </w:t>
      </w:r>
      <w:r w:rsidR="003554BE" w:rsidRPr="00D36C0C">
        <w:rPr>
          <w:rFonts w:ascii="Charter BT" w:hAnsi="Charter BT"/>
        </w:rPr>
        <w:t>widely applied in downtown or CBD contexts. Our case study sites demonstrate strong TOD characteristics, including high-density, mixed-use developments and integrated pedestrian networks connecting transit stations and adjacent projects.</w:t>
      </w:r>
    </w:p>
    <w:p w14:paraId="3F88A1B1" w14:textId="77777777" w:rsidR="003554BE" w:rsidRPr="00D36C0C" w:rsidRDefault="003554BE" w:rsidP="00D94F96">
      <w:pPr>
        <w:ind w:left="-426" w:firstLine="426"/>
        <w:jc w:val="both"/>
        <w:rPr>
          <w:rFonts w:ascii="Charter BT" w:hAnsi="Charter BT" w:hint="eastAsia"/>
        </w:rPr>
      </w:pPr>
      <w:r w:rsidRPr="00D36C0C">
        <w:rPr>
          <w:rFonts w:ascii="Charter BT" w:hAnsi="Charter BT"/>
        </w:rPr>
        <w:t>Specifically, the Central area near Hong Kong Station was created through reclamation and developed as a flagship TOD project (e.g., International Financial Center), as officially recognized by MTRC (</w:t>
      </w:r>
      <w:hyperlink r:id="rId7" w:tgtFrame="_blank" w:history="1">
        <w:r w:rsidRPr="00D36C0C">
          <w:rPr>
            <w:rFonts w:ascii="Charter BT" w:hAnsi="Charter BT"/>
          </w:rPr>
          <w:t>see MTR Academy course document</w:t>
        </w:r>
      </w:hyperlink>
      <w:r w:rsidRPr="00D36C0C">
        <w:rPr>
          <w:rFonts w:ascii="Charter BT" w:hAnsi="Charter BT"/>
        </w:rPr>
        <w:t>). Similarly, the Tsim Sha Tsui East area incorporates TOD elements, such as the extension of the station and the integration of underground pedestrian networks with successive property developments. The Victoria Dockside project in TST East, for example, was explicitly designed with TOD principles in mind (</w:t>
      </w:r>
      <w:hyperlink r:id="rId8" w:tgtFrame="_blank" w:history="1">
        <w:r w:rsidRPr="00D36C0C">
          <w:rPr>
            <w:rFonts w:ascii="Charter BT" w:hAnsi="Charter BT"/>
          </w:rPr>
          <w:t>see ARUP reference</w:t>
        </w:r>
      </w:hyperlink>
      <w:r w:rsidRPr="00D36C0C">
        <w:rPr>
          <w:rFonts w:ascii="Charter BT" w:hAnsi="Charter BT"/>
        </w:rPr>
        <w:t>).</w:t>
      </w:r>
    </w:p>
    <w:p w14:paraId="17F29515" w14:textId="0FE8C819" w:rsidR="00C5743B" w:rsidRPr="00D36C0C" w:rsidRDefault="003554BE" w:rsidP="00D94F96">
      <w:pPr>
        <w:ind w:left="-426" w:firstLine="426"/>
        <w:jc w:val="both"/>
        <w:rPr>
          <w:rFonts w:ascii="Charter BT" w:hAnsi="Charter BT" w:hint="eastAsia"/>
        </w:rPr>
      </w:pPr>
      <w:r w:rsidRPr="00D36C0C">
        <w:rPr>
          <w:rFonts w:ascii="Charter BT" w:hAnsi="Charter BT"/>
        </w:rPr>
        <w:t xml:space="preserve">Therefore, applying the TOD concept to </w:t>
      </w:r>
      <w:r w:rsidR="00915618" w:rsidRPr="00D36C0C">
        <w:rPr>
          <w:rFonts w:ascii="Charter BT" w:hAnsi="Charter BT"/>
        </w:rPr>
        <w:t>the two</w:t>
      </w:r>
      <w:r w:rsidRPr="00D36C0C">
        <w:rPr>
          <w:rFonts w:ascii="Charter BT" w:hAnsi="Charter BT"/>
        </w:rPr>
        <w:t xml:space="preserve"> major city centre sites is both relevant and supported by local planning and </w:t>
      </w:r>
      <w:r w:rsidR="008765C9" w:rsidRPr="00D36C0C">
        <w:rPr>
          <w:rFonts w:ascii="Charter BT" w:hAnsi="Charter BT"/>
        </w:rPr>
        <w:t xml:space="preserve">volumetric </w:t>
      </w:r>
      <w:r w:rsidRPr="00D36C0C">
        <w:rPr>
          <w:rFonts w:ascii="Charter BT" w:hAnsi="Charter BT"/>
        </w:rPr>
        <w:t>development practices.</w:t>
      </w:r>
    </w:p>
    <w:p w14:paraId="46291122" w14:textId="52E40035" w:rsidR="004F20A8" w:rsidRPr="00D36C0C" w:rsidRDefault="004F20A8" w:rsidP="004F20A8">
      <w:pPr>
        <w:ind w:left="-426" w:firstLine="426"/>
        <w:jc w:val="both"/>
        <w:rPr>
          <w:rFonts w:ascii="Charter BT" w:hAnsi="Charter BT" w:hint="eastAsia"/>
        </w:rPr>
      </w:pPr>
      <w:r w:rsidRPr="00D36C0C">
        <w:rPr>
          <w:rFonts w:ascii="Charter BT" w:hAnsi="Charter BT"/>
        </w:rPr>
        <w:t>In the revised manuscript, we have reframed the content related to TOD</w:t>
      </w:r>
      <w:r w:rsidR="00D608A3" w:rsidRPr="00D36C0C">
        <w:rPr>
          <w:rFonts w:ascii="Charter BT" w:hAnsi="Charter BT"/>
        </w:rPr>
        <w:t xml:space="preserve">, including the conceptual framing of metro stations and </w:t>
      </w:r>
      <w:r w:rsidR="008E7629" w:rsidRPr="00D36C0C">
        <w:rPr>
          <w:rFonts w:ascii="Charter BT" w:hAnsi="Charter BT"/>
        </w:rPr>
        <w:t xml:space="preserve">the </w:t>
      </w:r>
      <w:r w:rsidR="00D608A3" w:rsidRPr="00D36C0C">
        <w:rPr>
          <w:rFonts w:ascii="Charter BT" w:hAnsi="Charter BT"/>
        </w:rPr>
        <w:t>3D pedestrian network as the defining feature</w:t>
      </w:r>
      <w:r w:rsidR="008E7629" w:rsidRPr="00D36C0C">
        <w:rPr>
          <w:rFonts w:ascii="Charter BT" w:hAnsi="Charter BT"/>
        </w:rPr>
        <w:t>s</w:t>
      </w:r>
      <w:r w:rsidR="00D608A3" w:rsidRPr="00D36C0C">
        <w:rPr>
          <w:rFonts w:ascii="Charter BT" w:hAnsi="Charter BT"/>
        </w:rPr>
        <w:t xml:space="preserve"> of</w:t>
      </w:r>
      <w:r w:rsidRPr="00D36C0C">
        <w:rPr>
          <w:rFonts w:ascii="Charter BT" w:hAnsi="Charter BT"/>
        </w:rPr>
        <w:t xml:space="preserve"> </w:t>
      </w:r>
      <w:r w:rsidR="00D608A3" w:rsidRPr="00D36C0C">
        <w:rPr>
          <w:rFonts w:ascii="Charter BT" w:hAnsi="Charter BT"/>
        </w:rPr>
        <w:t>volumetric urban design; and the results. For example, s</w:t>
      </w:r>
      <w:r w:rsidRPr="00D36C0C">
        <w:rPr>
          <w:rFonts w:ascii="Charter BT" w:hAnsi="Charter BT"/>
        </w:rPr>
        <w:t xml:space="preserve">ince the three volumetric </w:t>
      </w:r>
      <w:r w:rsidR="002B7ED5" w:rsidRPr="00D36C0C">
        <w:rPr>
          <w:rFonts w:ascii="Charter BT" w:hAnsi="Charter BT"/>
        </w:rPr>
        <w:t>measures</w:t>
      </w:r>
      <w:r w:rsidRPr="00D36C0C">
        <w:rPr>
          <w:rFonts w:ascii="Charter BT" w:hAnsi="Charter BT"/>
        </w:rPr>
        <w:t xml:space="preserve"> align closely with TOD strategies in high-density cities</w:t>
      </w:r>
      <w:r w:rsidR="002B7ED5" w:rsidRPr="00D36C0C">
        <w:rPr>
          <w:rFonts w:ascii="Charter BT" w:hAnsi="Charter BT"/>
        </w:rPr>
        <w:t xml:space="preserve"> </w:t>
      </w:r>
      <w:r w:rsidR="008E7629" w:rsidRPr="00D36C0C">
        <w:rPr>
          <w:rFonts w:ascii="Charter BT" w:hAnsi="Charter BT"/>
        </w:rPr>
        <w:t>—</w:t>
      </w:r>
      <w:r w:rsidR="00D608A3" w:rsidRPr="00D36C0C">
        <w:rPr>
          <w:rFonts w:ascii="Charter BT" w:hAnsi="Charter BT"/>
          <w:kern w:val="0"/>
          <w14:ligatures w14:val="none"/>
        </w:rPr>
        <w:t>namely</w:t>
      </w:r>
      <w:r w:rsidR="008E7629" w:rsidRPr="00D36C0C">
        <w:rPr>
          <w:rFonts w:ascii="Charter BT" w:hAnsi="Charter BT"/>
          <w:kern w:val="0"/>
          <w14:ligatures w14:val="none"/>
        </w:rPr>
        <w:t>,</w:t>
      </w:r>
      <w:r w:rsidR="00D608A3" w:rsidRPr="00D36C0C">
        <w:rPr>
          <w:rFonts w:ascii="Charter BT" w:hAnsi="Charter BT"/>
          <w:kern w:val="0"/>
          <w14:ligatures w14:val="none"/>
        </w:rPr>
        <w:t xml:space="preserve"> high-density, mixed-use, and pedestrian-friendly development </w:t>
      </w:r>
      <w:r w:rsidR="008E7629" w:rsidRPr="00D36C0C">
        <w:rPr>
          <w:rFonts w:ascii="Charter BT" w:hAnsi="Charter BT"/>
          <w:kern w:val="0"/>
          <w14:ligatures w14:val="none"/>
        </w:rPr>
        <w:t>—</w:t>
      </w:r>
      <w:r w:rsidR="00D608A3" w:rsidRPr="00D36C0C">
        <w:rPr>
          <w:rFonts w:ascii="Charter BT" w:hAnsi="Charter BT"/>
          <w:kern w:val="0"/>
          <w14:ligatures w14:val="none"/>
        </w:rPr>
        <w:t>we tested whether elevated walkways, led by both public and private sectors,</w:t>
      </w:r>
      <w:r w:rsidRPr="00D36C0C">
        <w:rPr>
          <w:rFonts w:ascii="Charter BT" w:hAnsi="Charter BT"/>
        </w:rPr>
        <w:t xml:space="preserve"> help create </w:t>
      </w:r>
      <w:r w:rsidRPr="00D36C0C">
        <w:rPr>
          <w:rFonts w:ascii="Charter BT" w:hAnsi="Charter BT"/>
        </w:rPr>
        <w:lastRenderedPageBreak/>
        <w:t>integrated urban fabrics through volumetric design and TOD. Our results provide new insights into the relationship between TOD and volumetric urban design.</w:t>
      </w:r>
    </w:p>
    <w:p w14:paraId="75742F17" w14:textId="6A30EEA2" w:rsidR="00D94F96" w:rsidRPr="00D36C0C" w:rsidRDefault="00FD1667" w:rsidP="009D5E13">
      <w:pPr>
        <w:ind w:left="-567" w:firstLine="425"/>
        <w:jc w:val="both"/>
        <w:rPr>
          <w:rFonts w:ascii="Charter BT" w:hAnsi="Charter BT" w:hint="eastAsia"/>
          <w:color w:val="5B9BD5" w:themeColor="accent5"/>
        </w:rPr>
      </w:pPr>
      <w:r w:rsidRPr="00D36C0C">
        <w:rPr>
          <w:rFonts w:ascii="Charter BT" w:hAnsi="Charter BT"/>
          <w:color w:val="5B9BD5" w:themeColor="accent5"/>
        </w:rPr>
        <w:t>The second defining feature of volumetric urban design in Hong Kong is the integration of the Mass Transit Railway (MTR) system, which follows transit-oriented development (TOD) principles. Hong Kong’s reliance on the metro system is evident: nearly half the population lives within 500 metres of a station, and 70% of riders walk to and from the metro, contributing to an average daily ridership of 4.69 million (Sun et al., 2021). This TOD approach promotes high density, mixed land use, and enhanced connectivity within station catchment areas. In addition, seamless integration of pedestrian networks with metro stations connects multi-level urban interfaces, supporting both mobility and urban cohesion (Villani et al., 2022). The expansion of underground and elevated spaces enables the vertical stacking of urban functions, creating environments that extend above and below ground (Zacharias &amp; He, 2018; Zhang &amp; Chiaradia, 2022).  Metro stations are directly linked to commercial complexes and residential towers through a comprehensive three-dimensional pedestrian network, including footbridges, tunnels, elevators, and escalators. Elevated and underground walkways connect podiums, shopping malls, and towers, generating large, multi-layered volumes and enhancing walkability. Many internal spaces, privately owned yet publicly accessible, are integrated with metro stations, providing climate-controlled, open spaces that serve both commuters and the public (Shelton et al., 2013). The ongoing expansion of the metro and its integration with property developments has fostered creative, pedestrian-oriented urban design, making three-dimensional connectivity a hallmark of the city’s design fabric. However, the complex interactions between multi-level connections, spatial organisation, and TOD in the volumetric design warrant further investigation (Line 71-90).</w:t>
      </w:r>
    </w:p>
    <w:p w14:paraId="75A65E57" w14:textId="70512E90" w:rsidR="00757D51" w:rsidRPr="00D36C0C" w:rsidRDefault="00213CFE" w:rsidP="00213CFE">
      <w:pPr>
        <w:jc w:val="both"/>
        <w:rPr>
          <w:rFonts w:ascii="Charter BT" w:hAnsi="Charter BT" w:hint="eastAsia"/>
        </w:rPr>
      </w:pPr>
      <w:r w:rsidRPr="00D36C0C">
        <w:rPr>
          <w:rFonts w:ascii="Charter BT" w:hAnsi="Charter BT"/>
        </w:rPr>
        <w:br/>
      </w:r>
      <w:r w:rsidR="00FD5924" w:rsidRPr="00D36C0C">
        <w:rPr>
          <w:rFonts w:ascii="Charter BT" w:hAnsi="Charter BT"/>
        </w:rPr>
        <w:t xml:space="preserve">7. </w:t>
      </w:r>
      <w:r w:rsidRPr="00D36C0C">
        <w:rPr>
          <w:rFonts w:ascii="Charter BT" w:hAnsi="Charter BT"/>
        </w:rPr>
        <w:t>The assumption about connectivity decreasing with distance from transit stations is not disproven. You are only focusing on the central business district of what is a very large city with many more transit</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TOD sites. If you studied Tsing Yi or Tuen Mun, would your conclusions differ?</w:t>
      </w:r>
    </w:p>
    <w:p w14:paraId="597EFE7C" w14:textId="4D72700F" w:rsidR="001128BB" w:rsidRPr="005D40B9" w:rsidRDefault="00757D51" w:rsidP="005D40B9">
      <w:pPr>
        <w:jc w:val="both"/>
        <w:rPr>
          <w:rFonts w:ascii="Charter BT" w:hAnsi="Charter BT" w:hint="eastAsia"/>
        </w:rPr>
      </w:pPr>
      <w:r w:rsidRPr="00D36C0C">
        <w:rPr>
          <w:rFonts w:ascii="Charter BT" w:hAnsi="Charter BT"/>
          <w:b/>
          <w:bCs/>
        </w:rPr>
        <w:t>Response:</w:t>
      </w:r>
      <w:r w:rsidR="00B95798" w:rsidRPr="00D36C0C">
        <w:rPr>
          <w:rFonts w:ascii="Charter BT" w:hAnsi="Charter BT"/>
        </w:rPr>
        <w:t xml:space="preserve"> </w:t>
      </w:r>
      <w:r w:rsidR="009A1132" w:rsidRPr="00D36C0C">
        <w:rPr>
          <w:rFonts w:ascii="Charter BT" w:hAnsi="Charter BT"/>
        </w:rPr>
        <w:t xml:space="preserve">Thank you for your comment. We selected these two sites as complex, illustrative cases to develop and validate our 3D volumetric design measures. However, we recognize that our findings are not numerically generalizable to all areas in the city. In the revised manuscript, we have limited our conclusions accordingly. </w:t>
      </w:r>
      <w:r w:rsidR="001C7182">
        <w:rPr>
          <w:rFonts w:ascii="Charter BT" w:hAnsi="Charter BT" w:hint="eastAsia"/>
        </w:rPr>
        <w:t>In addition, i</w:t>
      </w:r>
      <w:r w:rsidR="002226D9" w:rsidRPr="005D40B9">
        <w:rPr>
          <w:rFonts w:ascii="Charter BT" w:hAnsi="Charter BT"/>
        </w:rPr>
        <w:t xml:space="preserve">t should also be noted that volumetric design intensity does not necessarily correspond to TOD principles, despite their similarities and synergy in the study areas. Notably, connectedness, compression, and building mix do not always decline with increasing distance from metro stations. This suggests that the creation of volumetric environments does not always align geographically with those of metro stations, and that high volumetric intensity does not consistently coincide with station catchment areas. Possible reasons for this are </w:t>
      </w:r>
      <w:r w:rsidR="002226D9" w:rsidRPr="005D40B9">
        <w:rPr>
          <w:rFonts w:ascii="Charter BT" w:hAnsi="Charter BT"/>
        </w:rPr>
        <w:lastRenderedPageBreak/>
        <w:t xml:space="preserve">that volumetric design is often driven by ambitious and highly self-initiated private developers, </w:t>
      </w:r>
      <w:bookmarkStart w:id="6" w:name="_Hlk209724595"/>
      <w:r w:rsidR="002226D9" w:rsidRPr="005D40B9">
        <w:rPr>
          <w:rFonts w:ascii="Charter BT" w:hAnsi="Charter BT"/>
        </w:rPr>
        <w:t>whose projects may not be closely linked to metro stations or locations in catchment areas</w:t>
      </w:r>
      <w:bookmarkEnd w:id="6"/>
      <w:r w:rsidR="001128BB" w:rsidRPr="005D40B9">
        <w:rPr>
          <w:rFonts w:ascii="Charter BT" w:hAnsi="Charter BT"/>
        </w:rPr>
        <w:t>.</w:t>
      </w:r>
    </w:p>
    <w:p w14:paraId="01F169CC" w14:textId="4C6B9DD4" w:rsidR="00757D51" w:rsidRPr="00D36C0C" w:rsidRDefault="00213CFE" w:rsidP="00ED07CA">
      <w:pPr>
        <w:jc w:val="both"/>
        <w:rPr>
          <w:rFonts w:ascii="Charter BT" w:hAnsi="Charter BT" w:hint="eastAsia"/>
        </w:rPr>
      </w:pPr>
      <w:r w:rsidRPr="00D36C0C">
        <w:rPr>
          <w:rFonts w:ascii="Charter BT" w:hAnsi="Charter BT"/>
        </w:rPr>
        <w:br/>
      </w:r>
      <w:r w:rsidR="004C2395" w:rsidRPr="00D36C0C">
        <w:rPr>
          <w:rFonts w:ascii="Charter BT" w:hAnsi="Charter BT"/>
        </w:rPr>
        <w:t xml:space="preserve">8. </w:t>
      </w:r>
      <w:r w:rsidRPr="00D36C0C">
        <w:rPr>
          <w:rFonts w:ascii="Charter BT" w:hAnsi="Charter BT"/>
        </w:rPr>
        <w:t xml:space="preserve">That elevated walkways support connectivity is not a surprise. The one key aspect the authors are glossing over is how the design of </w:t>
      </w:r>
      <w:r w:rsidR="00485D5A" w:rsidRPr="00D36C0C">
        <w:rPr>
          <w:rFonts w:ascii="Charter BT" w:hAnsi="Charter BT"/>
        </w:rPr>
        <w:t>surface-level</w:t>
      </w:r>
      <w:r w:rsidRPr="00D36C0C">
        <w:rPr>
          <w:rFonts w:ascii="Charter BT" w:hAnsi="Charter BT"/>
        </w:rPr>
        <w:t xml:space="preserve"> streets impedes pedestrian movement in some parts of these study sites. Many of the streets in the study area are dedicated to cars with barriers preventing pedestrians </w:t>
      </w:r>
      <w:r w:rsidR="00195B85" w:rsidRPr="00D36C0C">
        <w:rPr>
          <w:rFonts w:ascii="Charter BT" w:hAnsi="Charter BT"/>
        </w:rPr>
        <w:t>from interacting</w:t>
      </w:r>
      <w:r w:rsidRPr="00D36C0C">
        <w:rPr>
          <w:rFonts w:ascii="Charter BT" w:hAnsi="Charter BT"/>
        </w:rPr>
        <w:t xml:space="preserve"> with traffic flows. Thus</w:t>
      </w:r>
      <w:r w:rsidR="00485D5A" w:rsidRPr="00D36C0C">
        <w:rPr>
          <w:rFonts w:ascii="Charter BT" w:hAnsi="Charter BT"/>
        </w:rPr>
        <w:t>,</w:t>
      </w:r>
      <w:r w:rsidRPr="00D36C0C">
        <w:rPr>
          <w:rFonts w:ascii="Charter BT" w:hAnsi="Charter BT"/>
        </w:rPr>
        <w:t xml:space="preserve"> the pedestrian bridges are necessary to provide linkages (underground tunnels too, such as those in TST, which the authors omit). This is a symptom of a larger</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very stringent focus on the separation of modes by the city</w:t>
      </w:r>
      <w:r w:rsidRPr="00D36C0C">
        <w:rPr>
          <w:rFonts w:ascii="Charter BT" w:hAnsi="Charter BT" w:cs="Charter"/>
        </w:rPr>
        <w:t>’</w:t>
      </w:r>
      <w:r w:rsidRPr="00D36C0C">
        <w:rPr>
          <w:rFonts w:ascii="Charter BT" w:hAnsi="Charter BT"/>
        </w:rPr>
        <w:t>s</w:t>
      </w:r>
      <w:r w:rsidRPr="00D36C0C">
        <w:rPr>
          <w:rFonts w:ascii="Charter BT" w:hAnsi="Charter BT" w:cs="Cambria"/>
        </w:rPr>
        <w:t> </w:t>
      </w:r>
      <w:r w:rsidRPr="00D36C0C">
        <w:rPr>
          <w:rFonts w:ascii="Charter BT" w:hAnsi="Charter BT"/>
        </w:rPr>
        <w:t>planning/traffic departments. If streets were themselves made more complete</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pedestrian</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 xml:space="preserve">cyclist friendly, as some organizations in the city are campaigning for, again I suspect these conclusions would weaken. Another reviewer brought up the privatization of space </w:t>
      </w:r>
      <w:r w:rsidRPr="00D36C0C">
        <w:rPr>
          <w:rFonts w:ascii="Charter BT" w:hAnsi="Charter BT" w:cs="Charter"/>
        </w:rPr>
        <w:t>–</w:t>
      </w:r>
      <w:r w:rsidRPr="00D36C0C">
        <w:rPr>
          <w:rFonts w:ascii="Charter BT" w:hAnsi="Charter BT"/>
        </w:rPr>
        <w:t xml:space="preserve"> another fascinating aspect that is heavily represented in some of this, but the authors have proven unwilling to explore in the revision. Again, there are potentially very interesting intersections of this urban volumetric work with</w:t>
      </w:r>
      <w:r w:rsidRPr="00D36C0C">
        <w:rPr>
          <w:rFonts w:ascii="Charter BT" w:hAnsi="Charter BT" w:cs="Cambria"/>
        </w:rPr>
        <w:t> </w:t>
      </w:r>
      <w:r w:rsidRPr="00D36C0C">
        <w:rPr>
          <w:rFonts w:ascii="Charter BT" w:hAnsi="Charter BT"/>
        </w:rPr>
        <w:t>planning</w:t>
      </w:r>
      <w:r w:rsidRPr="00D36C0C">
        <w:rPr>
          <w:rFonts w:ascii="Charter BT" w:hAnsi="Charter BT" w:cs="Cambria"/>
        </w:rPr>
        <w:t> </w:t>
      </w:r>
      <w:r w:rsidRPr="00D36C0C">
        <w:rPr>
          <w:rFonts w:ascii="Charter BT" w:hAnsi="Charter BT"/>
        </w:rPr>
        <w:t>for pedestrian-friendly development, but these types of questions do not underpin the current work.</w:t>
      </w:r>
      <w:r w:rsidR="00177E5B" w:rsidRPr="00D36C0C">
        <w:rPr>
          <w:rFonts w:ascii="Charter BT" w:hAnsi="Charter BT"/>
        </w:rPr>
        <w:t xml:space="preserve"> In addition, Hong Kong is considered a pedestrian-friendly city but not cycling-friendly due to the terrain.</w:t>
      </w:r>
    </w:p>
    <w:p w14:paraId="662C5862" w14:textId="43D22DF9" w:rsidR="00177E5B" w:rsidRPr="00D36C0C" w:rsidRDefault="00177E5B" w:rsidP="00213CFE">
      <w:pPr>
        <w:jc w:val="both"/>
        <w:rPr>
          <w:rFonts w:ascii="Charter BT" w:hAnsi="Charter BT" w:hint="eastAsia"/>
        </w:rPr>
      </w:pPr>
      <w:r w:rsidRPr="00D36C0C">
        <w:rPr>
          <w:rFonts w:ascii="Charter BT" w:hAnsi="Charter BT"/>
        </w:rPr>
        <w:t xml:space="preserve">Regarding the privatisation of space, though it was not the priority of this study, we have provided contextual information regarding its wide existence around metro stations and in volumetric settings. </w:t>
      </w:r>
    </w:p>
    <w:p w14:paraId="47A886A4" w14:textId="7E76FE15" w:rsidR="007D384A" w:rsidRPr="00D36C0C" w:rsidRDefault="00757D51" w:rsidP="007D384A">
      <w:pPr>
        <w:jc w:val="both"/>
        <w:rPr>
          <w:rFonts w:ascii="Charter BT" w:hAnsi="Charter BT" w:hint="eastAsia"/>
        </w:rPr>
      </w:pPr>
      <w:r w:rsidRPr="00D36C0C">
        <w:rPr>
          <w:rFonts w:ascii="Charter BT" w:hAnsi="Charter BT"/>
          <w:b/>
          <w:bCs/>
        </w:rPr>
        <w:t>Response:</w:t>
      </w:r>
      <w:r w:rsidR="00F155E5" w:rsidRPr="00D36C0C">
        <w:rPr>
          <w:rFonts w:ascii="Charter BT" w:hAnsi="Charter BT"/>
        </w:rPr>
        <w:t xml:space="preserve"> </w:t>
      </w:r>
      <w:r w:rsidR="007D384A" w:rsidRPr="00D36C0C">
        <w:rPr>
          <w:rFonts w:ascii="Charter BT" w:hAnsi="Charter BT"/>
        </w:rPr>
        <w:t>Thank you for your comments. We have revised the manuscript to address the role of street design and pedestrian movement in Hong Kong. We agree that the separation of pedestrians from vehicles—through elevated walkways and underground tunnels—reflects not only car-oriented planning, but also pragmatic responses to land scarcity, high land values, and historical influences from UK planning</w:t>
      </w:r>
      <w:r w:rsidR="000D74E3" w:rsidRPr="00D36C0C">
        <w:rPr>
          <w:rFonts w:ascii="Charter BT" w:hAnsi="Charter BT"/>
        </w:rPr>
        <w:t xml:space="preserve"> and design</w:t>
      </w:r>
      <w:r w:rsidR="007D384A" w:rsidRPr="00D36C0C">
        <w:rPr>
          <w:rFonts w:ascii="Charter BT" w:hAnsi="Charter BT"/>
        </w:rPr>
        <w:t xml:space="preserve"> practices. These networks are particularly prominent in city centres and New Towns, </w:t>
      </w:r>
      <w:r w:rsidR="00EE42E7" w:rsidRPr="00D36C0C">
        <w:rPr>
          <w:rFonts w:ascii="Charter BT" w:hAnsi="Charter BT"/>
        </w:rPr>
        <w:t>helping</w:t>
      </w:r>
      <w:r w:rsidR="007D384A" w:rsidRPr="00D36C0C">
        <w:rPr>
          <w:rFonts w:ascii="Charter BT" w:hAnsi="Charter BT"/>
        </w:rPr>
        <w:t xml:space="preserve"> </w:t>
      </w:r>
      <w:r w:rsidR="00EE42E7" w:rsidRPr="00D36C0C">
        <w:rPr>
          <w:rFonts w:ascii="Charter BT" w:hAnsi="Charter BT"/>
        </w:rPr>
        <w:t>to</w:t>
      </w:r>
      <w:r w:rsidR="007D384A" w:rsidRPr="00D36C0C">
        <w:rPr>
          <w:rFonts w:ascii="Charter BT" w:hAnsi="Charter BT"/>
        </w:rPr>
        <w:t xml:space="preserve"> extend metro coverage and walkability, </w:t>
      </w:r>
      <w:r w:rsidR="00EE42E7" w:rsidRPr="00D36C0C">
        <w:rPr>
          <w:rFonts w:ascii="Charter BT" w:hAnsi="Charter BT"/>
        </w:rPr>
        <w:t xml:space="preserve">and </w:t>
      </w:r>
      <w:r w:rsidR="007D384A" w:rsidRPr="00D36C0C">
        <w:rPr>
          <w:rFonts w:ascii="Charter BT" w:hAnsi="Charter BT"/>
        </w:rPr>
        <w:t xml:space="preserve">offering shelter in Hong Kong’s subtropical climate. We also acknowledge that Hong Kong’s </w:t>
      </w:r>
      <w:r w:rsidR="00EB7F1E" w:rsidRPr="00D36C0C">
        <w:rPr>
          <w:rFonts w:ascii="Charter BT" w:hAnsi="Charter BT"/>
        </w:rPr>
        <w:t>street</w:t>
      </w:r>
      <w:r w:rsidR="007D384A" w:rsidRPr="00D36C0C">
        <w:rPr>
          <w:rFonts w:ascii="Charter BT" w:hAnsi="Charter BT"/>
        </w:rPr>
        <w:t xml:space="preserve"> infrastructure is not cycling-friendly, with cycling paths mainly limited to leisure use in the New Territories.</w:t>
      </w:r>
    </w:p>
    <w:p w14:paraId="61806CC9" w14:textId="37455BC6" w:rsidR="00D16C9E" w:rsidRPr="00D36C0C" w:rsidRDefault="007D384A" w:rsidP="007D384A">
      <w:pPr>
        <w:jc w:val="both"/>
        <w:rPr>
          <w:rFonts w:ascii="Charter BT" w:hAnsi="Charter BT" w:hint="eastAsia"/>
        </w:rPr>
      </w:pPr>
      <w:r w:rsidRPr="00D36C0C">
        <w:rPr>
          <w:rFonts w:ascii="Charter BT" w:hAnsi="Charter BT"/>
        </w:rPr>
        <w:t xml:space="preserve">While the privatisation of space was not the main focus of this study, we have included additional context about its prevalence </w:t>
      </w:r>
      <w:r w:rsidR="009C68C7" w:rsidRPr="00D36C0C">
        <w:rPr>
          <w:rFonts w:ascii="Charter BT" w:hAnsi="Charter BT"/>
        </w:rPr>
        <w:t>in shopping malls, a</w:t>
      </w:r>
      <w:r w:rsidR="000B16F6" w:rsidRPr="00D36C0C">
        <w:rPr>
          <w:rFonts w:ascii="Charter BT" w:hAnsi="Charter BT"/>
        </w:rPr>
        <w:t>s</w:t>
      </w:r>
      <w:r w:rsidR="009C68C7" w:rsidRPr="00D36C0C">
        <w:rPr>
          <w:rFonts w:ascii="Charter BT" w:hAnsi="Charter BT"/>
        </w:rPr>
        <w:t xml:space="preserve"> </w:t>
      </w:r>
      <w:r w:rsidR="000B16F6" w:rsidRPr="00D36C0C">
        <w:rPr>
          <w:rFonts w:ascii="Charter BT" w:hAnsi="Charter BT"/>
        </w:rPr>
        <w:t>well</w:t>
      </w:r>
      <w:r w:rsidR="009C68C7" w:rsidRPr="00D36C0C">
        <w:rPr>
          <w:rFonts w:ascii="Charter BT" w:hAnsi="Charter BT"/>
        </w:rPr>
        <w:t xml:space="preserve"> </w:t>
      </w:r>
      <w:r w:rsidR="000B16F6" w:rsidRPr="00D36C0C">
        <w:rPr>
          <w:rFonts w:ascii="Charter BT" w:hAnsi="Charter BT"/>
        </w:rPr>
        <w:t>as in area</w:t>
      </w:r>
      <w:r w:rsidR="009C68C7" w:rsidRPr="00D36C0C">
        <w:rPr>
          <w:rFonts w:ascii="Charter BT" w:hAnsi="Charter BT"/>
        </w:rPr>
        <w:t xml:space="preserve">s </w:t>
      </w:r>
      <w:r w:rsidRPr="00D36C0C">
        <w:rPr>
          <w:rFonts w:ascii="Charter BT" w:hAnsi="Charter BT"/>
        </w:rPr>
        <w:t>around metro stations and in volumetric developments. We have updated our discussion to better address three-dimensional pedestrian networks, walkability, and the implications of privately-owned public space within the context of TOD in Hong Kong.</w:t>
      </w:r>
    </w:p>
    <w:p w14:paraId="678AC6F7" w14:textId="77777777" w:rsidR="00195B85" w:rsidRPr="00D36C0C" w:rsidRDefault="00195B85" w:rsidP="00213CFE">
      <w:pPr>
        <w:jc w:val="both"/>
        <w:rPr>
          <w:rFonts w:ascii="Charter BT" w:hAnsi="Charter BT" w:hint="eastAsia"/>
        </w:rPr>
      </w:pPr>
    </w:p>
    <w:p w14:paraId="35185AAE" w14:textId="77777777" w:rsidR="009D5E13" w:rsidRPr="00D36C0C" w:rsidRDefault="009D5E13" w:rsidP="009D5E13">
      <w:pPr>
        <w:ind w:left="-567" w:firstLine="425"/>
        <w:jc w:val="both"/>
        <w:rPr>
          <w:rFonts w:ascii="Charter BT" w:hAnsi="Charter BT" w:hint="eastAsia"/>
          <w:color w:val="5B9BD5" w:themeColor="accent5"/>
        </w:rPr>
      </w:pPr>
      <w:r w:rsidRPr="00D36C0C">
        <w:rPr>
          <w:rFonts w:ascii="Charter BT" w:hAnsi="Charter BT"/>
          <w:color w:val="5B9BD5" w:themeColor="accent5"/>
        </w:rPr>
        <w:t>The second defining feature of volumetric urban design in Hong Kong is the integration of the Mass Transit Railway (MTR) system, which follows transit-oriented development (TOD) principles. Hong Kong’s reliance on the metro system is evident: nearly half the population lives within 500 metres of a station, and 70% of riders walk to and from the metro, contributing to an average daily ridership of 4.69 million (Sun et al., 2021). This TOD approach promotes high density, mixed land use, and enhanced connectivity within station catchment areas. In addition, seamless integration of pedestrian networks with metro stations connects multi-level urban interfaces, supporting both mobility and urban cohesion (Villani et al., 2022). The expansion of underground and elevated spaces enables the vertical stacking of urban functions, creating environments that extend above and below ground (Zacharias &amp; He, 2018; Zhang &amp; Chiaradia, 2022).  Metro stations are directly linked to commercial complexes and residential towers through a comprehensive three-dimensional pedestrian network, including footbridges, tunnels, elevators, and escalators. Elevated and underground walkways connect podiums, shopping malls, and towers, generating large, multi-layered volumes and enhancing walkability. Many internal spaces, privately owned yet publicly accessible, are integrated with metro stations, providing climate-controlled, open spaces that serve both commuters and the public (Shelton et al., 2013). The ongoing expansion of the metro and its integration with property developments has fostered creative, pedestrian-oriented urban design, making three-dimensional connectivity a hallmark of the city’s design fabric. However, the complex interactions between multi-level connections, spatial organisation, and TOD in the volumetric design warrant further investigation (Line 71-90).</w:t>
      </w:r>
    </w:p>
    <w:p w14:paraId="35B55B4D" w14:textId="0CD135D3" w:rsidR="00757D51" w:rsidRPr="00D36C0C" w:rsidRDefault="00213CFE" w:rsidP="00D17965">
      <w:pPr>
        <w:jc w:val="both"/>
        <w:rPr>
          <w:rFonts w:ascii="Charter BT" w:hAnsi="Charter BT" w:hint="eastAsia"/>
        </w:rPr>
      </w:pPr>
      <w:r w:rsidRPr="00D36C0C">
        <w:rPr>
          <w:rFonts w:ascii="Charter BT" w:hAnsi="Charter BT"/>
        </w:rPr>
        <w:br/>
      </w:r>
      <w:r w:rsidR="004C2395" w:rsidRPr="00D36C0C">
        <w:rPr>
          <w:rFonts w:ascii="Charter BT" w:hAnsi="Charter BT"/>
        </w:rPr>
        <w:t>9</w:t>
      </w:r>
      <w:r w:rsidR="00C20D6F" w:rsidRPr="00D36C0C">
        <w:rPr>
          <w:rFonts w:ascii="Charter BT" w:hAnsi="Charter BT"/>
        </w:rPr>
        <w:t xml:space="preserve">. </w:t>
      </w:r>
      <w:r w:rsidRPr="00D36C0C">
        <w:rPr>
          <w:rFonts w:ascii="Charter BT" w:hAnsi="Charter BT"/>
        </w:rPr>
        <w:t>As a consequence, the discussion</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conclusions lack substantive</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interesting takeaways beyond minor methodological aspects such as incorporating street widths, elevated walkways,</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measuring functional mix. If the authors were looking to free up word count, much of this is repetitive - the methodology already covered these aspects,</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they are not new or interesting enough to make up the bulk of the discussion.</w:t>
      </w:r>
    </w:p>
    <w:p w14:paraId="07B02D94" w14:textId="77777777" w:rsidR="00846243" w:rsidRPr="00D36C0C" w:rsidRDefault="00846243" w:rsidP="00D17965">
      <w:pPr>
        <w:jc w:val="both"/>
        <w:rPr>
          <w:rFonts w:ascii="Charter BT" w:hAnsi="Charter BT" w:hint="eastAsia"/>
        </w:rPr>
      </w:pPr>
    </w:p>
    <w:p w14:paraId="054F6AEF" w14:textId="7D2DCBB4" w:rsidR="009049FB" w:rsidRPr="00D36C0C" w:rsidRDefault="00757D51" w:rsidP="00213CFE">
      <w:pPr>
        <w:jc w:val="both"/>
        <w:rPr>
          <w:rFonts w:ascii="Charter BT" w:hAnsi="Charter BT" w:hint="eastAsia"/>
        </w:rPr>
      </w:pPr>
      <w:r w:rsidRPr="00D36C0C">
        <w:rPr>
          <w:rFonts w:ascii="Charter BT" w:hAnsi="Charter BT"/>
          <w:b/>
          <w:bCs/>
        </w:rPr>
        <w:t>Response:</w:t>
      </w:r>
      <w:r w:rsidR="00623E47" w:rsidRPr="00D36C0C">
        <w:rPr>
          <w:rFonts w:ascii="Charter BT" w:hAnsi="Charter BT"/>
          <w:b/>
          <w:bCs/>
        </w:rPr>
        <w:t xml:space="preserve"> </w:t>
      </w:r>
      <w:r w:rsidR="00623E47" w:rsidRPr="00D36C0C">
        <w:rPr>
          <w:rFonts w:ascii="Charter BT" w:hAnsi="Charter BT"/>
        </w:rPr>
        <w:t xml:space="preserve">Thanks for your suggestions. </w:t>
      </w:r>
      <w:r w:rsidR="00BE18AA" w:rsidRPr="00D36C0C">
        <w:rPr>
          <w:rFonts w:ascii="Charter BT" w:hAnsi="Charter BT"/>
        </w:rPr>
        <w:t>We have thoroughly revised the discussion</w:t>
      </w:r>
      <w:r w:rsidR="000B16F6" w:rsidRPr="00D36C0C">
        <w:rPr>
          <w:rFonts w:ascii="Charter BT" w:hAnsi="Charter BT"/>
        </w:rPr>
        <w:t xml:space="preserve"> section</w:t>
      </w:r>
      <w:r w:rsidR="007B38E5" w:rsidRPr="00D36C0C">
        <w:rPr>
          <w:rFonts w:ascii="Charter BT" w:hAnsi="Charter BT"/>
        </w:rPr>
        <w:t xml:space="preserve"> by</w:t>
      </w:r>
      <w:r w:rsidR="00BE18AA" w:rsidRPr="00D36C0C">
        <w:rPr>
          <w:rFonts w:ascii="Charter BT" w:hAnsi="Charter BT"/>
        </w:rPr>
        <w:t xml:space="preserve"> inc</w:t>
      </w:r>
      <w:r w:rsidR="007B38E5" w:rsidRPr="00D36C0C">
        <w:rPr>
          <w:rFonts w:ascii="Charter BT" w:hAnsi="Charter BT"/>
        </w:rPr>
        <w:t>orporating</w:t>
      </w:r>
      <w:r w:rsidR="00BE18AA" w:rsidRPr="00D36C0C">
        <w:rPr>
          <w:rFonts w:ascii="Charter BT" w:hAnsi="Charter BT"/>
        </w:rPr>
        <w:t xml:space="preserve"> </w:t>
      </w:r>
      <w:r w:rsidR="00843B0C" w:rsidRPr="00D36C0C">
        <w:rPr>
          <w:rFonts w:ascii="Charter BT" w:hAnsi="Charter BT"/>
        </w:rPr>
        <w:t>discussion</w:t>
      </w:r>
      <w:r w:rsidR="007B38E5" w:rsidRPr="00D36C0C">
        <w:rPr>
          <w:rFonts w:ascii="Charter BT" w:hAnsi="Charter BT"/>
        </w:rPr>
        <w:t>s</w:t>
      </w:r>
      <w:r w:rsidR="00843B0C" w:rsidRPr="00D36C0C">
        <w:rPr>
          <w:rFonts w:ascii="Charter BT" w:hAnsi="Charter BT"/>
        </w:rPr>
        <w:t xml:space="preserve"> with current literature and </w:t>
      </w:r>
      <w:r w:rsidR="007B38E5" w:rsidRPr="00D36C0C">
        <w:rPr>
          <w:rFonts w:ascii="Charter BT" w:hAnsi="Charter BT"/>
        </w:rPr>
        <w:t xml:space="preserve">an </w:t>
      </w:r>
      <w:r w:rsidR="00843B0C" w:rsidRPr="00D36C0C">
        <w:rPr>
          <w:rFonts w:ascii="Charter BT" w:hAnsi="Charter BT"/>
        </w:rPr>
        <w:t xml:space="preserve">understanding </w:t>
      </w:r>
      <w:r w:rsidR="002905CB" w:rsidRPr="00D36C0C">
        <w:rPr>
          <w:rFonts w:ascii="Charter BT" w:hAnsi="Charter BT"/>
        </w:rPr>
        <w:t>of</w:t>
      </w:r>
      <w:r w:rsidR="00843B0C" w:rsidRPr="00D36C0C">
        <w:rPr>
          <w:rFonts w:ascii="Charter BT" w:hAnsi="Charter BT"/>
        </w:rPr>
        <w:t xml:space="preserve"> volumetric design, methodological, </w:t>
      </w:r>
      <w:r w:rsidR="00BE18AA" w:rsidRPr="00D36C0C">
        <w:rPr>
          <w:rFonts w:ascii="Charter BT" w:hAnsi="Charter BT"/>
        </w:rPr>
        <w:t>policy</w:t>
      </w:r>
      <w:r w:rsidR="007B38E5" w:rsidRPr="00D36C0C">
        <w:rPr>
          <w:rFonts w:ascii="Charter BT" w:hAnsi="Charter BT"/>
        </w:rPr>
        <w:t>,</w:t>
      </w:r>
      <w:r w:rsidR="00BE18AA" w:rsidRPr="00D36C0C">
        <w:rPr>
          <w:rFonts w:ascii="Charter BT" w:hAnsi="Charter BT"/>
        </w:rPr>
        <w:t xml:space="preserve"> and planning implications for future studies.</w:t>
      </w:r>
      <w:r w:rsidR="00843B0C" w:rsidRPr="00D36C0C">
        <w:rPr>
          <w:rFonts w:ascii="Charter BT" w:hAnsi="Charter BT"/>
        </w:rPr>
        <w:t xml:space="preserve"> </w:t>
      </w:r>
    </w:p>
    <w:p w14:paraId="46639EFB" w14:textId="60ECA902" w:rsidR="00484346" w:rsidRPr="00D36C0C" w:rsidRDefault="009049FB" w:rsidP="00213CFE">
      <w:pPr>
        <w:jc w:val="both"/>
        <w:rPr>
          <w:rFonts w:ascii="Charter BT" w:hAnsi="Charter BT" w:hint="eastAsia"/>
        </w:rPr>
      </w:pPr>
      <w:r w:rsidRPr="00D36C0C">
        <w:rPr>
          <w:rFonts w:ascii="Charter BT" w:hAnsi="Charter BT"/>
        </w:rPr>
        <w:t>Please</w:t>
      </w:r>
      <w:r w:rsidR="007D7757" w:rsidRPr="00D36C0C">
        <w:rPr>
          <w:rFonts w:ascii="Charter BT" w:hAnsi="Charter BT"/>
        </w:rPr>
        <w:t xml:space="preserve"> refer to the revised discussion section</w:t>
      </w:r>
      <w:r w:rsidRPr="00D36C0C">
        <w:rPr>
          <w:rFonts w:ascii="Charter BT" w:hAnsi="Charter BT"/>
        </w:rPr>
        <w:t xml:space="preserve"> for more details</w:t>
      </w:r>
      <w:r w:rsidR="007D7757" w:rsidRPr="00D36C0C">
        <w:rPr>
          <w:rFonts w:ascii="Charter BT" w:hAnsi="Charter BT"/>
        </w:rPr>
        <w:t>.</w:t>
      </w:r>
      <w:r w:rsidRPr="00D36C0C">
        <w:rPr>
          <w:rFonts w:ascii="Charter BT" w:hAnsi="Charter BT"/>
        </w:rPr>
        <w:t xml:space="preserve"> </w:t>
      </w:r>
    </w:p>
    <w:p w14:paraId="44DD828C" w14:textId="77777777" w:rsidR="00CA0E7C" w:rsidRPr="00D36C0C" w:rsidRDefault="00CA0E7C" w:rsidP="00213CFE">
      <w:pPr>
        <w:jc w:val="both"/>
        <w:rPr>
          <w:rFonts w:ascii="Charter BT" w:hAnsi="Charter BT" w:hint="eastAsia"/>
        </w:rPr>
      </w:pPr>
    </w:p>
    <w:p w14:paraId="2515CB95" w14:textId="77777777" w:rsidR="00271096" w:rsidRPr="00D36C0C" w:rsidRDefault="00271096" w:rsidP="00271096">
      <w:pPr>
        <w:jc w:val="both"/>
        <w:rPr>
          <w:rFonts w:ascii="Charter BT" w:hAnsi="Charter BT" w:hint="eastAsia"/>
          <w:color w:val="5B9BD5" w:themeColor="accent5"/>
        </w:rPr>
      </w:pPr>
      <w:r w:rsidRPr="00D36C0C">
        <w:rPr>
          <w:rFonts w:ascii="Charter BT" w:hAnsi="Charter BT"/>
          <w:color w:val="5B9BD5" w:themeColor="accent5"/>
        </w:rPr>
        <w:lastRenderedPageBreak/>
        <w:t>This study presents an operationalised and replicable framework for measuring volumetric urban design, focusing on compression, connectedness, and functional mix. By developing and applying these new measures, we reveal the unique spatial logic and functional organisation of volumetric urban environments, highlighting vertical zoning and dense, interconnected spaces that traditional two-dimensional approaches overlook. Our analysis demonstrates that conventional metrics cannot capture the complexity of Hong Kong’s high-density, transit-oriented settings, which are defined by multi-level pedestrian networks and integrated metro stations following TOD principles. These findings underscore the need for new frameworks to guide urban analysis, design, and policy in high-density cities shaped by volumetric development.</w:t>
      </w:r>
    </w:p>
    <w:p w14:paraId="502FE3D3" w14:textId="77777777" w:rsidR="00271096" w:rsidRPr="00D36C0C" w:rsidRDefault="00271096" w:rsidP="00271096">
      <w:pPr>
        <w:jc w:val="both"/>
        <w:rPr>
          <w:rFonts w:ascii="Charter BT" w:hAnsi="Charter BT" w:hint="eastAsia"/>
          <w:color w:val="5B9BD5" w:themeColor="accent5"/>
        </w:rPr>
      </w:pPr>
      <w:r w:rsidRPr="00D36C0C">
        <w:rPr>
          <w:rFonts w:ascii="Charter BT" w:hAnsi="Charter BT"/>
          <w:color w:val="5B9BD5" w:themeColor="accent5"/>
        </w:rPr>
        <w:t>Specifically, our findings highlight that multi-level pedestrian networks and metro stations support connectedness, compression, and functional mix in volumetric design. These results are consistent with previous qualitative observations that podium decks serve as new "grounds" for towers, while bridges and ramps connect multiple layers to create multi-level environments around station catchment areas (Shelton et al., 2013; Tan &amp; QL Xue, 2014). Often realised as privately owned public spaces, multi-level walkways not only expand connectivity and enable denser urban forms but also enhance the spatial configuration of shopping and service sectors. Our study further demonstrates that elevated walkways alter the functional mix at multiple scales by connecting diverse building types—such as atria, podiums, and towers—across different levels. Moreover, since the principles underlying these three volumetric elements closely align with TOD strategies in high-density cities, multi-level pedestrian networks around metro stations foster integrated urban fabrics characterised by both high volumetric intensity and TOD features.</w:t>
      </w:r>
    </w:p>
    <w:p w14:paraId="5844078B" w14:textId="77777777" w:rsidR="00271096" w:rsidRPr="00D36C0C" w:rsidRDefault="00271096" w:rsidP="00271096">
      <w:pPr>
        <w:jc w:val="both"/>
        <w:rPr>
          <w:rFonts w:ascii="Charter BT" w:hAnsi="Charter BT" w:hint="eastAsia"/>
          <w:color w:val="5B9BD5" w:themeColor="accent5"/>
        </w:rPr>
      </w:pPr>
      <w:r w:rsidRPr="00D36C0C">
        <w:rPr>
          <w:rFonts w:ascii="Charter BT" w:hAnsi="Charter BT"/>
          <w:color w:val="5B9BD5" w:themeColor="accent5"/>
        </w:rPr>
        <w:t>Our compression measure defines the opportunity to access destinations from a given building, including those reachable via connected pedestrian networks. Our findings reveal how urban functions cluster and interact in high-density environments. The spatial distribution of compression highlights how building spaces function as nexuses between spatial form and urban activity, and shows how small areas (e.g., 5-minute neighbourhoods) are functionally organised. Our analysis highlights the crucial role of three-dimensional pedestrian networks in amplifying the intensity of these clusters, rendering compression a valuable proxy for estimating potential users, pedestrian flows, and overall urban vibrancy at a fine-grained level in the volumetric city.</w:t>
      </w:r>
    </w:p>
    <w:p w14:paraId="44E23CEF" w14:textId="77777777" w:rsidR="00271096" w:rsidRPr="00D36C0C" w:rsidRDefault="00271096" w:rsidP="00271096">
      <w:pPr>
        <w:jc w:val="both"/>
        <w:rPr>
          <w:rFonts w:ascii="Charter BT" w:hAnsi="Charter BT" w:hint="eastAsia"/>
          <w:color w:val="5B9BD5" w:themeColor="accent5"/>
        </w:rPr>
      </w:pPr>
      <w:r w:rsidRPr="00D36C0C">
        <w:rPr>
          <w:rFonts w:ascii="Charter BT" w:hAnsi="Charter BT"/>
          <w:color w:val="5B9BD5" w:themeColor="accent5"/>
        </w:rPr>
        <w:t xml:space="preserve">Our findings indicate that the combination of permeability and street width determines interface catchments, which in turn influence the proportion of walkable public areas. These aggregated catchments determine the capacity for pedestrian movement, spatial integration and interaction from a street design perspective. In the two case sites, only 1% to 10% space relative to catchment </w:t>
      </w:r>
      <w:r w:rsidRPr="00D36C0C">
        <w:rPr>
          <w:rFonts w:ascii="Charter BT" w:hAnsi="Charter BT"/>
          <w:color w:val="5B9BD5" w:themeColor="accent5"/>
        </w:rPr>
        <w:lastRenderedPageBreak/>
        <w:t>areas was open to flexible and efficient movement for pedestrians, highlighting the spatial constraints in dense environments like Hong Kong. Given these limitations, expanding street links or width at ground level is rarely feasible. Instead, multi-layered pedestrian networks—developed by both public and private sectors—have become essential for increasing route options and overall connectedness. This approach diversifies access and improves station catchment areas, and supports successful TOD implementation. In such cases, differences in connectedness levels between areas primarily reflect the extent of vertical network expansion, highlighting the proactive role of planners, designers, and developers in overcoming land-use constraints by creating privately owned public spaces.</w:t>
      </w:r>
    </w:p>
    <w:p w14:paraId="364863B5" w14:textId="77777777" w:rsidR="00271096" w:rsidRPr="00D36C0C" w:rsidRDefault="00271096" w:rsidP="00271096">
      <w:pPr>
        <w:jc w:val="both"/>
        <w:rPr>
          <w:rFonts w:ascii="Charter BT" w:hAnsi="Charter BT" w:hint="eastAsia"/>
          <w:color w:val="5B9BD5" w:themeColor="accent5"/>
        </w:rPr>
      </w:pPr>
      <w:r w:rsidRPr="00D36C0C">
        <w:rPr>
          <w:rFonts w:ascii="Charter BT" w:hAnsi="Charter BT"/>
          <w:color w:val="5B9BD5" w:themeColor="accent5"/>
        </w:rPr>
        <w:t>This study introduces fine-grained measures of both overall and vertical functional mix. The results show that functional mix exceeds 50% within individual buildings and is over 20% in vertical above-ground spaces, providing strong quantitative evidence of evolving land use and architectural strategies in Hong Kong’s city centre. This scale of functional mix extends beyond single land plots, spanning from colonial-era buildings to modern complexes (Shelton et al., 2013). It maximises daily service provision within blocks or even single buildings. Our findings confirm the prevalence and visualise the distribution of combined work and visit functions, reflected in the high concentration of services, shops, and restaurants (Zacharias &amp; He, 2018).  The observed vertical functional mix further illustrates how activities and spaces are organised through innovative building typologies (e.g., podiums and atria), as well as the adaptive reuse of older structures in Hong Kong with the advancement of vertical connections (Shelton et al., 2013).</w:t>
      </w:r>
    </w:p>
    <w:p w14:paraId="05FF19A0" w14:textId="5674A475" w:rsidR="00271096" w:rsidRPr="00D36C0C" w:rsidRDefault="00271096" w:rsidP="00271096">
      <w:pPr>
        <w:jc w:val="both"/>
        <w:rPr>
          <w:rFonts w:ascii="Charter BT" w:hAnsi="Charter BT" w:hint="eastAsia"/>
          <w:color w:val="5B9BD5" w:themeColor="accent5"/>
        </w:rPr>
      </w:pPr>
      <w:r w:rsidRPr="00D36C0C">
        <w:rPr>
          <w:rFonts w:ascii="Charter BT" w:hAnsi="Charter BT"/>
          <w:color w:val="5B9BD5" w:themeColor="accent5"/>
        </w:rPr>
        <w:t>This research has several limitations. First, while the use of POIs enabled fine-scale mapping of building functions and supported large-scale analysis, it did not capture the actual attractiveness or intensity of these destinations. Future studies should consider more detailed datasets that account for variations in size, usage patterns, and amenities. Second, there are limitations in measuring connectedness. Although we included pedestrian network widths, some categories could not be measured due to data constraints, which may affect the accuracy of estimated widths. Additionally, our network-based analysis did not account for travel time friction due to slope in the connectedness calculation. Third, compression, connectedness, and functional mix may vary over time, making them difficult to capture with static datasets. Finally, compression calculations did not factor in actual floor areas or the specific routes from building entrances to POIs, which would provide a more nuanced understanding of spatial interactions (Line 467-531)”.</w:t>
      </w:r>
    </w:p>
    <w:p w14:paraId="76AC06E8" w14:textId="53949403" w:rsidR="006C1173" w:rsidRPr="00D36C0C" w:rsidRDefault="00213CFE" w:rsidP="00271096">
      <w:pPr>
        <w:jc w:val="both"/>
        <w:rPr>
          <w:rFonts w:ascii="Charter BT" w:hAnsi="Charter BT" w:hint="eastAsia"/>
        </w:rPr>
      </w:pPr>
      <w:r w:rsidRPr="00D36C0C">
        <w:rPr>
          <w:rFonts w:ascii="Charter BT" w:hAnsi="Charter BT"/>
        </w:rPr>
        <w:br/>
      </w:r>
      <w:r w:rsidR="004C2395" w:rsidRPr="00D36C0C">
        <w:rPr>
          <w:rFonts w:ascii="Charter BT" w:hAnsi="Charter BT"/>
        </w:rPr>
        <w:t>10</w:t>
      </w:r>
      <w:r w:rsidR="00623E47" w:rsidRPr="00D36C0C">
        <w:rPr>
          <w:rFonts w:ascii="Charter BT" w:hAnsi="Charter BT"/>
        </w:rPr>
        <w:t xml:space="preserve">. </w:t>
      </w:r>
      <w:r w:rsidRPr="00D36C0C">
        <w:rPr>
          <w:rFonts w:ascii="Charter BT" w:hAnsi="Charter BT"/>
        </w:rPr>
        <w:t xml:space="preserve">Part of the weakness of the paper in the search for interesting takeaways stems </w:t>
      </w:r>
      <w:r w:rsidRPr="00D36C0C">
        <w:rPr>
          <w:rFonts w:ascii="Charter BT" w:hAnsi="Charter BT"/>
        </w:rPr>
        <w:lastRenderedPageBreak/>
        <w:t xml:space="preserve">from </w:t>
      </w:r>
      <w:r w:rsidR="007C4CA7" w:rsidRPr="00D36C0C">
        <w:rPr>
          <w:rFonts w:ascii="Charter BT" w:hAnsi="Charter BT"/>
        </w:rPr>
        <w:t xml:space="preserve">the </w:t>
      </w:r>
      <w:r w:rsidRPr="00D36C0C">
        <w:rPr>
          <w:rFonts w:ascii="Charter BT" w:hAnsi="Charter BT"/>
        </w:rPr>
        <w:t>study design, with 2 case studies of the central part of the city, rather than a research design with more potential for contrasts.</w:t>
      </w:r>
    </w:p>
    <w:p w14:paraId="6D66F7AF" w14:textId="77777777" w:rsidR="00BE18AA" w:rsidRPr="00D36C0C" w:rsidRDefault="00BE18AA" w:rsidP="00213CFE">
      <w:pPr>
        <w:jc w:val="both"/>
        <w:rPr>
          <w:rFonts w:ascii="Charter BT" w:hAnsi="Charter BT" w:hint="eastAsia"/>
        </w:rPr>
      </w:pPr>
    </w:p>
    <w:p w14:paraId="48B98186" w14:textId="09EC28C4" w:rsidR="00885491" w:rsidRPr="00D36C0C" w:rsidRDefault="006C1173" w:rsidP="00885491">
      <w:pPr>
        <w:jc w:val="both"/>
        <w:rPr>
          <w:rFonts w:ascii="Charter BT" w:hAnsi="Charter BT" w:hint="eastAsia"/>
        </w:rPr>
      </w:pPr>
      <w:r w:rsidRPr="00D36C0C">
        <w:rPr>
          <w:rFonts w:ascii="Charter BT" w:hAnsi="Charter BT"/>
          <w:b/>
          <w:bCs/>
        </w:rPr>
        <w:t>Response:</w:t>
      </w:r>
      <w:r w:rsidRPr="00D36C0C">
        <w:rPr>
          <w:rFonts w:ascii="Charter BT" w:hAnsi="Charter BT"/>
        </w:rPr>
        <w:t xml:space="preserve"> </w:t>
      </w:r>
      <w:r w:rsidR="00885491" w:rsidRPr="00D36C0C">
        <w:rPr>
          <w:rFonts w:ascii="Charter BT" w:hAnsi="Charter BT"/>
        </w:rPr>
        <w:t>Thank you for your comment. We focused on Central and Tsim Sha Tsui because they represent the most complex, three-dimensional pedestrian networks in Hong Kong—Central alone features 8 km of elevated walkways and 26 metro exits, while Tsim Sha Tsui has extensive underground networks and multi-functional developments. In contrast, sites like Tsing Yi and Tung Chung have more limited volumetric features, primarily at ground and elevated levels, and thus were less suitable for validating our volumetric urban design measures. Our study’s aim was to test and refine these measures in the most intensive settings, rather than to provide broader site comparisons.</w:t>
      </w:r>
    </w:p>
    <w:p w14:paraId="3024B006" w14:textId="7630CB7F" w:rsidR="00A2018C" w:rsidRPr="00D36C0C" w:rsidRDefault="00213CFE" w:rsidP="003710B8">
      <w:pPr>
        <w:jc w:val="both"/>
        <w:rPr>
          <w:rFonts w:ascii="Charter BT" w:hAnsi="Charter BT" w:hint="eastAsia"/>
        </w:rPr>
      </w:pPr>
      <w:r w:rsidRPr="00D36C0C">
        <w:rPr>
          <w:rFonts w:ascii="Charter BT" w:hAnsi="Charter BT"/>
        </w:rPr>
        <w:br/>
      </w:r>
      <w:r w:rsidR="00426939" w:rsidRPr="00D36C0C">
        <w:rPr>
          <w:rFonts w:ascii="Charter BT" w:hAnsi="Charter BT"/>
        </w:rPr>
        <w:t>11</w:t>
      </w:r>
      <w:r w:rsidR="009A6475" w:rsidRPr="00D36C0C">
        <w:rPr>
          <w:rFonts w:ascii="Charter BT" w:hAnsi="Charter BT"/>
        </w:rPr>
        <w:t xml:space="preserve">. </w:t>
      </w:r>
      <w:r w:rsidRPr="00D36C0C">
        <w:rPr>
          <w:rFonts w:ascii="Charter BT" w:hAnsi="Charter BT"/>
        </w:rPr>
        <w:t>It is obvious a great deal of effort went into this research. With the improvements to the methods, we now have a better sense of the core questions of what, where, when,</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 xml:space="preserve">how. Yet we still lack the </w:t>
      </w:r>
      <w:r w:rsidRPr="00D36C0C">
        <w:rPr>
          <w:rFonts w:ascii="Charter BT" w:hAnsi="Charter BT" w:cs="Charter"/>
        </w:rPr>
        <w:t>“</w:t>
      </w:r>
      <w:r w:rsidRPr="00D36C0C">
        <w:rPr>
          <w:rFonts w:ascii="Charter BT" w:hAnsi="Charter BT"/>
        </w:rPr>
        <w:t>why?</w:t>
      </w:r>
      <w:r w:rsidRPr="00D36C0C">
        <w:rPr>
          <w:rFonts w:ascii="Charter BT" w:hAnsi="Charter BT" w:cs="Charter"/>
        </w:rPr>
        <w:t>”</w:t>
      </w:r>
      <w:r w:rsidRPr="00D36C0C">
        <w:rPr>
          <w:rFonts w:ascii="Charter BT" w:hAnsi="Charter BT"/>
        </w:rPr>
        <w:t>. Teasing out what (if anything) we have learned about how cities are designed</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function from these minor methodological innovations</w:t>
      </w:r>
      <w:r w:rsidRPr="00D36C0C">
        <w:rPr>
          <w:rFonts w:ascii="Charter BT" w:hAnsi="Charter BT" w:cs="Cambria"/>
        </w:rPr>
        <w:t> </w:t>
      </w:r>
      <w:r w:rsidRPr="00D36C0C">
        <w:rPr>
          <w:rFonts w:ascii="Charter BT" w:hAnsi="Charter BT"/>
        </w:rPr>
        <w:t>and</w:t>
      </w:r>
      <w:r w:rsidRPr="00D36C0C">
        <w:rPr>
          <w:rFonts w:ascii="Charter BT" w:hAnsi="Charter BT" w:cs="Cambria"/>
        </w:rPr>
        <w:t> </w:t>
      </w:r>
      <w:r w:rsidRPr="00D36C0C">
        <w:rPr>
          <w:rFonts w:ascii="Charter BT" w:hAnsi="Charter BT"/>
        </w:rPr>
        <w:t>limited cases will be critical if this paper is to be of interest to the global audience of EPB.</w:t>
      </w:r>
    </w:p>
    <w:p w14:paraId="16F53BD8" w14:textId="77777777" w:rsidR="00D16C9E" w:rsidRPr="00D36C0C" w:rsidRDefault="00D16C9E" w:rsidP="00213CFE">
      <w:pPr>
        <w:jc w:val="both"/>
        <w:rPr>
          <w:rFonts w:ascii="Charter BT" w:hAnsi="Charter BT" w:hint="eastAsia"/>
        </w:rPr>
      </w:pPr>
    </w:p>
    <w:p w14:paraId="4B6A2C5A" w14:textId="73761E39" w:rsidR="00F155E5" w:rsidRPr="00D36C0C" w:rsidRDefault="00B95798" w:rsidP="00213CFE">
      <w:pPr>
        <w:jc w:val="both"/>
        <w:rPr>
          <w:rFonts w:ascii="Charter BT" w:hAnsi="Charter BT" w:hint="eastAsia"/>
        </w:rPr>
      </w:pPr>
      <w:r w:rsidRPr="00D36C0C">
        <w:rPr>
          <w:rFonts w:ascii="Charter BT" w:hAnsi="Charter BT"/>
          <w:b/>
          <w:bCs/>
        </w:rPr>
        <w:t>Response:</w:t>
      </w:r>
      <w:r w:rsidR="00D16C9E" w:rsidRPr="00D36C0C">
        <w:rPr>
          <w:rFonts w:ascii="Charter BT" w:hAnsi="Charter BT"/>
          <w:b/>
          <w:bCs/>
        </w:rPr>
        <w:t xml:space="preserve"> </w:t>
      </w:r>
      <w:r w:rsidR="00D16C9E" w:rsidRPr="00D36C0C">
        <w:rPr>
          <w:rFonts w:ascii="Charter BT" w:hAnsi="Charter BT"/>
        </w:rPr>
        <w:t xml:space="preserve">Thanks for your suggestions. We have revised the discussion part to </w:t>
      </w:r>
      <w:r w:rsidR="009A6475" w:rsidRPr="00D36C0C">
        <w:rPr>
          <w:rFonts w:ascii="Charter BT" w:hAnsi="Charter BT"/>
        </w:rPr>
        <w:t xml:space="preserve">elaborate </w:t>
      </w:r>
      <w:r w:rsidR="00F2177D" w:rsidRPr="00D36C0C">
        <w:rPr>
          <w:rFonts w:ascii="Charter BT" w:hAnsi="Charter BT"/>
        </w:rPr>
        <w:t xml:space="preserve">on </w:t>
      </w:r>
      <w:r w:rsidR="009A6475" w:rsidRPr="00D36C0C">
        <w:rPr>
          <w:rFonts w:ascii="Charter BT" w:hAnsi="Charter BT"/>
        </w:rPr>
        <w:t xml:space="preserve">the </w:t>
      </w:r>
      <w:r w:rsidR="00EE3A17" w:rsidRPr="00D36C0C">
        <w:rPr>
          <w:rFonts w:ascii="Charter BT" w:hAnsi="Charter BT"/>
        </w:rPr>
        <w:t xml:space="preserve">spatial </w:t>
      </w:r>
      <w:r w:rsidR="009A6475" w:rsidRPr="00D36C0C">
        <w:rPr>
          <w:rFonts w:ascii="Charter BT" w:hAnsi="Charter BT"/>
        </w:rPr>
        <w:t>understanding from this study and implications for practitioners</w:t>
      </w:r>
      <w:r w:rsidR="00A4485B" w:rsidRPr="00D36C0C">
        <w:rPr>
          <w:rFonts w:ascii="Charter BT" w:hAnsi="Charter BT"/>
        </w:rPr>
        <w:t xml:space="preserve"> and researchers</w:t>
      </w:r>
      <w:r w:rsidR="009A6475" w:rsidRPr="00D36C0C">
        <w:rPr>
          <w:rFonts w:ascii="Charter BT" w:hAnsi="Charter BT"/>
        </w:rPr>
        <w:t xml:space="preserve"> in broader geographical context</w:t>
      </w:r>
      <w:r w:rsidR="00F2177D" w:rsidRPr="00D36C0C">
        <w:rPr>
          <w:rFonts w:ascii="Charter BT" w:hAnsi="Charter BT"/>
        </w:rPr>
        <w:t>s</w:t>
      </w:r>
      <w:r w:rsidR="00BC084C" w:rsidRPr="00D36C0C">
        <w:rPr>
          <w:rFonts w:ascii="Charter BT" w:hAnsi="Charter BT"/>
        </w:rPr>
        <w:t xml:space="preserve"> beyond Asia. </w:t>
      </w:r>
    </w:p>
    <w:p w14:paraId="6CDA61D7" w14:textId="77777777" w:rsidR="00484346" w:rsidRPr="00D36C0C" w:rsidRDefault="00484346" w:rsidP="00213CFE">
      <w:pPr>
        <w:jc w:val="both"/>
        <w:rPr>
          <w:rFonts w:ascii="Charter BT" w:hAnsi="Charter BT" w:hint="eastAsia"/>
        </w:rPr>
      </w:pPr>
    </w:p>
    <w:p w14:paraId="55905A69" w14:textId="77777777" w:rsidR="009D5E13" w:rsidRPr="00D36C0C" w:rsidRDefault="00484346" w:rsidP="009D5E13">
      <w:pPr>
        <w:ind w:left="-426" w:firstLine="426"/>
        <w:jc w:val="both"/>
        <w:rPr>
          <w:rFonts w:ascii="Charter BT" w:hAnsi="Charter BT" w:hint="eastAsia"/>
          <w:color w:val="5B9BD5" w:themeColor="accent5"/>
        </w:rPr>
      </w:pPr>
      <w:r w:rsidRPr="00D36C0C">
        <w:rPr>
          <w:rFonts w:ascii="Charter BT" w:hAnsi="Charter BT"/>
          <w:color w:val="5B9BD5" w:themeColor="accent5"/>
        </w:rPr>
        <w:t>“</w:t>
      </w:r>
      <w:bookmarkStart w:id="7" w:name="_Hlk209623959"/>
      <w:r w:rsidR="009D5E13" w:rsidRPr="00D36C0C">
        <w:rPr>
          <w:rFonts w:ascii="Charter BT" w:hAnsi="Charter BT"/>
          <w:color w:val="5B9BD5" w:themeColor="accent5"/>
        </w:rPr>
        <w:t xml:space="preserve">This study also has notable strengths. It provides robust and generalisable methods for measuring urban design using fine-grained, openly accessible data. This approach challenges conventional notions of functional mix, building density, and connectivity. Volumetric design emerges as a human-centred strategy that facilitates pedestrian movement in high-density environments by offering climate-controlled, vehicle-free, safe, and efficient pathways within city centres. Additionally, it serves as an integrative approach that connects urban fabrics across underground metro systems, ground-level spaces, and above-ground developments, enhancing the vibrancy of volumetric developments. </w:t>
      </w:r>
    </w:p>
    <w:p w14:paraId="3F485C46" w14:textId="00475D3A" w:rsidR="00484346" w:rsidRPr="00D36C0C" w:rsidRDefault="009D5E13" w:rsidP="009D5E13">
      <w:pPr>
        <w:ind w:left="-426" w:firstLine="426"/>
        <w:jc w:val="both"/>
        <w:rPr>
          <w:rFonts w:ascii="Charter BT" w:hAnsi="Charter BT" w:hint="eastAsia"/>
          <w:color w:val="5B9BD5" w:themeColor="accent5"/>
        </w:rPr>
      </w:pPr>
      <w:r w:rsidRPr="00D36C0C">
        <w:rPr>
          <w:rFonts w:ascii="Charter BT" w:hAnsi="Charter BT"/>
          <w:color w:val="5B9BD5" w:themeColor="accent5"/>
        </w:rPr>
        <w:t xml:space="preserve">While this study focused on the Hong Kong case, careful consideration was given to volumetric design practice, with implications for other high-density cities in Asia. As cities become increasingly multi-layered, our replicable methodology, based on open-access data, overcomes the limitations of traditional two-dimensional measures. This approach supports large-scale, comparative analyses of urban form and can be readily applied to other high-density contexts, enabling cross-city comparisons and </w:t>
      </w:r>
      <w:r w:rsidRPr="00D36C0C">
        <w:rPr>
          <w:rFonts w:ascii="Charter BT" w:hAnsi="Charter BT"/>
          <w:color w:val="5B9BD5" w:themeColor="accent5"/>
        </w:rPr>
        <w:lastRenderedPageBreak/>
        <w:t xml:space="preserve">deeper exploration of the economic, social, and behavioural impacts of volumetric development </w:t>
      </w:r>
      <w:r w:rsidR="00BB4A16" w:rsidRPr="00D36C0C">
        <w:rPr>
          <w:rFonts w:ascii="Charter BT" w:hAnsi="Charter BT"/>
          <w:color w:val="5B9BD5" w:themeColor="accent5"/>
        </w:rPr>
        <w:t>(5</w:t>
      </w:r>
      <w:r w:rsidRPr="00D36C0C">
        <w:rPr>
          <w:rFonts w:ascii="Charter BT" w:hAnsi="Charter BT"/>
          <w:color w:val="5B9BD5" w:themeColor="accent5"/>
        </w:rPr>
        <w:t>32</w:t>
      </w:r>
      <w:r w:rsidR="00BB4A16" w:rsidRPr="00D36C0C">
        <w:rPr>
          <w:rFonts w:ascii="Charter BT" w:hAnsi="Charter BT"/>
          <w:color w:val="5B9BD5" w:themeColor="accent5"/>
        </w:rPr>
        <w:t>-5</w:t>
      </w:r>
      <w:r w:rsidRPr="00D36C0C">
        <w:rPr>
          <w:rFonts w:ascii="Charter BT" w:hAnsi="Charter BT"/>
          <w:color w:val="5B9BD5" w:themeColor="accent5"/>
        </w:rPr>
        <w:t>46</w:t>
      </w:r>
      <w:r w:rsidR="00BB4A16" w:rsidRPr="00D36C0C">
        <w:rPr>
          <w:rFonts w:ascii="Charter BT" w:hAnsi="Charter BT"/>
          <w:color w:val="5B9BD5" w:themeColor="accent5"/>
        </w:rPr>
        <w:t>)</w:t>
      </w:r>
      <w:r w:rsidR="00484346" w:rsidRPr="00D36C0C">
        <w:rPr>
          <w:rFonts w:ascii="Charter BT" w:hAnsi="Charter BT"/>
          <w:color w:val="5B9BD5" w:themeColor="accent5"/>
        </w:rPr>
        <w:t>.</w:t>
      </w:r>
      <w:bookmarkEnd w:id="7"/>
      <w:r w:rsidR="00484346" w:rsidRPr="00D36C0C">
        <w:rPr>
          <w:rFonts w:ascii="Charter BT" w:hAnsi="Charter BT"/>
          <w:color w:val="5B9BD5" w:themeColor="accent5"/>
        </w:rPr>
        <w:t>”</w:t>
      </w:r>
    </w:p>
    <w:sectPr w:rsidR="00484346" w:rsidRPr="00D36C0C">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17F8E" w14:textId="77777777" w:rsidR="000B411F" w:rsidRDefault="000B411F" w:rsidP="002B1C00">
      <w:pPr>
        <w:spacing w:after="0" w:line="240" w:lineRule="auto"/>
      </w:pPr>
      <w:r>
        <w:separator/>
      </w:r>
    </w:p>
  </w:endnote>
  <w:endnote w:type="continuationSeparator" w:id="0">
    <w:p w14:paraId="5B9C6F54" w14:textId="77777777" w:rsidR="000B411F" w:rsidRDefault="000B411F" w:rsidP="002B1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harter B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harter">
    <w:panose1 w:val="020005030600000200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0A006" w14:textId="77777777" w:rsidR="000B411F" w:rsidRDefault="000B411F" w:rsidP="002B1C00">
      <w:pPr>
        <w:spacing w:after="0" w:line="240" w:lineRule="auto"/>
      </w:pPr>
      <w:r>
        <w:separator/>
      </w:r>
    </w:p>
  </w:footnote>
  <w:footnote w:type="continuationSeparator" w:id="0">
    <w:p w14:paraId="4F510728" w14:textId="77777777" w:rsidR="000B411F" w:rsidRDefault="000B411F" w:rsidP="002B1C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Layout" w:val="&lt;ENLayout&gt;&lt;Style&gt;APA 7th&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pzvt2dv20evd59ervxhvepr7fwf2xr9ewf9e&quot;&gt;My EndNote Library&lt;record-ids&gt;&lt;item&gt;61&lt;/item&gt;&lt;/record-ids&gt;&lt;/item&gt;&lt;/Libraries&gt;"/>
  </w:docVars>
  <w:rsids>
    <w:rsidRoot w:val="00213CFE"/>
    <w:rsid w:val="00003341"/>
    <w:rsid w:val="000056AD"/>
    <w:rsid w:val="00013386"/>
    <w:rsid w:val="000479D3"/>
    <w:rsid w:val="00050D39"/>
    <w:rsid w:val="0005380C"/>
    <w:rsid w:val="000546B2"/>
    <w:rsid w:val="0005788B"/>
    <w:rsid w:val="00065090"/>
    <w:rsid w:val="00072219"/>
    <w:rsid w:val="00073BD0"/>
    <w:rsid w:val="00085335"/>
    <w:rsid w:val="00087F90"/>
    <w:rsid w:val="000915D7"/>
    <w:rsid w:val="0009413E"/>
    <w:rsid w:val="000A29FB"/>
    <w:rsid w:val="000A6E30"/>
    <w:rsid w:val="000B164C"/>
    <w:rsid w:val="000B16F6"/>
    <w:rsid w:val="000B411F"/>
    <w:rsid w:val="000B4369"/>
    <w:rsid w:val="000B5C02"/>
    <w:rsid w:val="000C1256"/>
    <w:rsid w:val="000C17C0"/>
    <w:rsid w:val="000D565D"/>
    <w:rsid w:val="000D68B7"/>
    <w:rsid w:val="000D74E3"/>
    <w:rsid w:val="000E6290"/>
    <w:rsid w:val="000F0AA3"/>
    <w:rsid w:val="000F3A79"/>
    <w:rsid w:val="000F5D50"/>
    <w:rsid w:val="0010148B"/>
    <w:rsid w:val="001128BB"/>
    <w:rsid w:val="0011319E"/>
    <w:rsid w:val="001157F6"/>
    <w:rsid w:val="0012166B"/>
    <w:rsid w:val="001244C0"/>
    <w:rsid w:val="0014149D"/>
    <w:rsid w:val="00142478"/>
    <w:rsid w:val="00143F58"/>
    <w:rsid w:val="00152CA1"/>
    <w:rsid w:val="00155154"/>
    <w:rsid w:val="001721C2"/>
    <w:rsid w:val="00174AA9"/>
    <w:rsid w:val="001763EF"/>
    <w:rsid w:val="00177E5B"/>
    <w:rsid w:val="00181DAE"/>
    <w:rsid w:val="0019262C"/>
    <w:rsid w:val="00194FD1"/>
    <w:rsid w:val="00195319"/>
    <w:rsid w:val="00195B85"/>
    <w:rsid w:val="001A0FAE"/>
    <w:rsid w:val="001A1ABC"/>
    <w:rsid w:val="001A6F42"/>
    <w:rsid w:val="001B2DA3"/>
    <w:rsid w:val="001B3B3F"/>
    <w:rsid w:val="001B7A8C"/>
    <w:rsid w:val="001C0102"/>
    <w:rsid w:val="001C14E4"/>
    <w:rsid w:val="001C3978"/>
    <w:rsid w:val="001C5BD9"/>
    <w:rsid w:val="001C7182"/>
    <w:rsid w:val="001D0233"/>
    <w:rsid w:val="001D0631"/>
    <w:rsid w:val="001D2D33"/>
    <w:rsid w:val="001D588E"/>
    <w:rsid w:val="001E15AE"/>
    <w:rsid w:val="001E4820"/>
    <w:rsid w:val="001E6044"/>
    <w:rsid w:val="001F3011"/>
    <w:rsid w:val="001F3F8F"/>
    <w:rsid w:val="00202924"/>
    <w:rsid w:val="002112FE"/>
    <w:rsid w:val="00213CFE"/>
    <w:rsid w:val="0021571E"/>
    <w:rsid w:val="002226D9"/>
    <w:rsid w:val="002276EE"/>
    <w:rsid w:val="00235BC9"/>
    <w:rsid w:val="00245E15"/>
    <w:rsid w:val="00256881"/>
    <w:rsid w:val="00256DEE"/>
    <w:rsid w:val="0025709A"/>
    <w:rsid w:val="0026690A"/>
    <w:rsid w:val="00271096"/>
    <w:rsid w:val="00273A42"/>
    <w:rsid w:val="00280454"/>
    <w:rsid w:val="0028424D"/>
    <w:rsid w:val="002904B7"/>
    <w:rsid w:val="002905CB"/>
    <w:rsid w:val="00294A05"/>
    <w:rsid w:val="002A0D3D"/>
    <w:rsid w:val="002B1C00"/>
    <w:rsid w:val="002B7ED5"/>
    <w:rsid w:val="002C06E5"/>
    <w:rsid w:val="002C47BA"/>
    <w:rsid w:val="002D102A"/>
    <w:rsid w:val="002D1383"/>
    <w:rsid w:val="002D764E"/>
    <w:rsid w:val="002E3645"/>
    <w:rsid w:val="002F290B"/>
    <w:rsid w:val="002F348E"/>
    <w:rsid w:val="003107E0"/>
    <w:rsid w:val="0031701D"/>
    <w:rsid w:val="003170CB"/>
    <w:rsid w:val="00317C43"/>
    <w:rsid w:val="00332372"/>
    <w:rsid w:val="003329B1"/>
    <w:rsid w:val="0035347C"/>
    <w:rsid w:val="003541AF"/>
    <w:rsid w:val="00355432"/>
    <w:rsid w:val="003554BE"/>
    <w:rsid w:val="003562E2"/>
    <w:rsid w:val="00361A9E"/>
    <w:rsid w:val="00370111"/>
    <w:rsid w:val="003710B8"/>
    <w:rsid w:val="00373041"/>
    <w:rsid w:val="00375587"/>
    <w:rsid w:val="00381A72"/>
    <w:rsid w:val="003835A5"/>
    <w:rsid w:val="003924FC"/>
    <w:rsid w:val="003B68B5"/>
    <w:rsid w:val="003B6D6D"/>
    <w:rsid w:val="003B7146"/>
    <w:rsid w:val="003C2DFE"/>
    <w:rsid w:val="003C4FF1"/>
    <w:rsid w:val="003E1D83"/>
    <w:rsid w:val="003E323F"/>
    <w:rsid w:val="003E35E7"/>
    <w:rsid w:val="003E4025"/>
    <w:rsid w:val="003E49C3"/>
    <w:rsid w:val="003F1989"/>
    <w:rsid w:val="003F2FB1"/>
    <w:rsid w:val="003F6E8A"/>
    <w:rsid w:val="004008B1"/>
    <w:rsid w:val="004107A5"/>
    <w:rsid w:val="004204F8"/>
    <w:rsid w:val="00421702"/>
    <w:rsid w:val="00421AD8"/>
    <w:rsid w:val="00426939"/>
    <w:rsid w:val="0042743F"/>
    <w:rsid w:val="004449EC"/>
    <w:rsid w:val="00445E76"/>
    <w:rsid w:val="00451347"/>
    <w:rsid w:val="00453092"/>
    <w:rsid w:val="004571D4"/>
    <w:rsid w:val="00461704"/>
    <w:rsid w:val="00462CBE"/>
    <w:rsid w:val="00464DBB"/>
    <w:rsid w:val="00470640"/>
    <w:rsid w:val="00470CD0"/>
    <w:rsid w:val="0047427F"/>
    <w:rsid w:val="00480163"/>
    <w:rsid w:val="00481EC5"/>
    <w:rsid w:val="00484346"/>
    <w:rsid w:val="00485D5A"/>
    <w:rsid w:val="00491C56"/>
    <w:rsid w:val="00495A14"/>
    <w:rsid w:val="00495B74"/>
    <w:rsid w:val="004962DE"/>
    <w:rsid w:val="004A5125"/>
    <w:rsid w:val="004A6D4E"/>
    <w:rsid w:val="004B06EC"/>
    <w:rsid w:val="004C0F9E"/>
    <w:rsid w:val="004C1388"/>
    <w:rsid w:val="004C13B5"/>
    <w:rsid w:val="004C2395"/>
    <w:rsid w:val="004D1C33"/>
    <w:rsid w:val="004E1EBC"/>
    <w:rsid w:val="004E4519"/>
    <w:rsid w:val="004E4FD6"/>
    <w:rsid w:val="004E63A3"/>
    <w:rsid w:val="004F20A8"/>
    <w:rsid w:val="004F40EA"/>
    <w:rsid w:val="004F6D2E"/>
    <w:rsid w:val="00507912"/>
    <w:rsid w:val="00507A13"/>
    <w:rsid w:val="0051550C"/>
    <w:rsid w:val="00515FF9"/>
    <w:rsid w:val="00521792"/>
    <w:rsid w:val="0052627A"/>
    <w:rsid w:val="00532C72"/>
    <w:rsid w:val="00532E8B"/>
    <w:rsid w:val="00534847"/>
    <w:rsid w:val="00534E97"/>
    <w:rsid w:val="00550E24"/>
    <w:rsid w:val="00553F46"/>
    <w:rsid w:val="00555EFF"/>
    <w:rsid w:val="0057666F"/>
    <w:rsid w:val="00580516"/>
    <w:rsid w:val="00584623"/>
    <w:rsid w:val="005849E1"/>
    <w:rsid w:val="00587A93"/>
    <w:rsid w:val="005975A3"/>
    <w:rsid w:val="005A020F"/>
    <w:rsid w:val="005A2480"/>
    <w:rsid w:val="005B2C0A"/>
    <w:rsid w:val="005B5486"/>
    <w:rsid w:val="005C0A4B"/>
    <w:rsid w:val="005C50AA"/>
    <w:rsid w:val="005D1187"/>
    <w:rsid w:val="005D1F0B"/>
    <w:rsid w:val="005D25F8"/>
    <w:rsid w:val="005D40B9"/>
    <w:rsid w:val="005E03C6"/>
    <w:rsid w:val="005E37C5"/>
    <w:rsid w:val="005E458E"/>
    <w:rsid w:val="005F0039"/>
    <w:rsid w:val="005F0E98"/>
    <w:rsid w:val="005F5159"/>
    <w:rsid w:val="006001E3"/>
    <w:rsid w:val="0060178B"/>
    <w:rsid w:val="006051B5"/>
    <w:rsid w:val="0061533B"/>
    <w:rsid w:val="00616204"/>
    <w:rsid w:val="00617651"/>
    <w:rsid w:val="00623E47"/>
    <w:rsid w:val="00635E8C"/>
    <w:rsid w:val="00636C14"/>
    <w:rsid w:val="0063758B"/>
    <w:rsid w:val="0063769F"/>
    <w:rsid w:val="00646BB7"/>
    <w:rsid w:val="006535B3"/>
    <w:rsid w:val="00655F3D"/>
    <w:rsid w:val="00656D9E"/>
    <w:rsid w:val="00657660"/>
    <w:rsid w:val="006638A2"/>
    <w:rsid w:val="00664EBC"/>
    <w:rsid w:val="00665513"/>
    <w:rsid w:val="00677844"/>
    <w:rsid w:val="0068673A"/>
    <w:rsid w:val="006912C3"/>
    <w:rsid w:val="00693F5D"/>
    <w:rsid w:val="00697894"/>
    <w:rsid w:val="006A2F6F"/>
    <w:rsid w:val="006B0406"/>
    <w:rsid w:val="006C0F6E"/>
    <w:rsid w:val="006C1173"/>
    <w:rsid w:val="006C306F"/>
    <w:rsid w:val="006C30EC"/>
    <w:rsid w:val="006C3643"/>
    <w:rsid w:val="006C50AD"/>
    <w:rsid w:val="006C7342"/>
    <w:rsid w:val="006E31FD"/>
    <w:rsid w:val="006E7D1E"/>
    <w:rsid w:val="006E7F78"/>
    <w:rsid w:val="006F019A"/>
    <w:rsid w:val="006F10EB"/>
    <w:rsid w:val="006F3E76"/>
    <w:rsid w:val="00720131"/>
    <w:rsid w:val="00720E13"/>
    <w:rsid w:val="00731345"/>
    <w:rsid w:val="00735E0F"/>
    <w:rsid w:val="00737FEF"/>
    <w:rsid w:val="00745410"/>
    <w:rsid w:val="00746F80"/>
    <w:rsid w:val="00750C9C"/>
    <w:rsid w:val="0075101F"/>
    <w:rsid w:val="00751136"/>
    <w:rsid w:val="007546D2"/>
    <w:rsid w:val="007560AF"/>
    <w:rsid w:val="00757D51"/>
    <w:rsid w:val="00760A6D"/>
    <w:rsid w:val="0076528E"/>
    <w:rsid w:val="00770E88"/>
    <w:rsid w:val="00773BB1"/>
    <w:rsid w:val="00775B0A"/>
    <w:rsid w:val="00785E0C"/>
    <w:rsid w:val="00787CE1"/>
    <w:rsid w:val="00797AB2"/>
    <w:rsid w:val="007A0B84"/>
    <w:rsid w:val="007A33DD"/>
    <w:rsid w:val="007B2BF0"/>
    <w:rsid w:val="007B38E5"/>
    <w:rsid w:val="007B41C4"/>
    <w:rsid w:val="007B6213"/>
    <w:rsid w:val="007C4CA7"/>
    <w:rsid w:val="007C6580"/>
    <w:rsid w:val="007D149A"/>
    <w:rsid w:val="007D21CB"/>
    <w:rsid w:val="007D3022"/>
    <w:rsid w:val="007D384A"/>
    <w:rsid w:val="007D7757"/>
    <w:rsid w:val="007E1E80"/>
    <w:rsid w:val="007E52D1"/>
    <w:rsid w:val="007F22E6"/>
    <w:rsid w:val="007F30E7"/>
    <w:rsid w:val="007F3C19"/>
    <w:rsid w:val="008028C1"/>
    <w:rsid w:val="008213B6"/>
    <w:rsid w:val="008322D4"/>
    <w:rsid w:val="00843B0C"/>
    <w:rsid w:val="00845381"/>
    <w:rsid w:val="00846243"/>
    <w:rsid w:val="008505E1"/>
    <w:rsid w:val="008514B9"/>
    <w:rsid w:val="00855668"/>
    <w:rsid w:val="00857E8E"/>
    <w:rsid w:val="008605D1"/>
    <w:rsid w:val="008621B5"/>
    <w:rsid w:val="008765C9"/>
    <w:rsid w:val="008813E3"/>
    <w:rsid w:val="00885491"/>
    <w:rsid w:val="008862F5"/>
    <w:rsid w:val="0089041B"/>
    <w:rsid w:val="008916E7"/>
    <w:rsid w:val="008A036C"/>
    <w:rsid w:val="008B53C4"/>
    <w:rsid w:val="008C641B"/>
    <w:rsid w:val="008D49DC"/>
    <w:rsid w:val="008E0989"/>
    <w:rsid w:val="008E126E"/>
    <w:rsid w:val="008E1C5D"/>
    <w:rsid w:val="008E420A"/>
    <w:rsid w:val="008E6DBC"/>
    <w:rsid w:val="008E7629"/>
    <w:rsid w:val="008F2B73"/>
    <w:rsid w:val="008F7A35"/>
    <w:rsid w:val="00903884"/>
    <w:rsid w:val="009049FB"/>
    <w:rsid w:val="00915618"/>
    <w:rsid w:val="00916925"/>
    <w:rsid w:val="00920660"/>
    <w:rsid w:val="00921A42"/>
    <w:rsid w:val="009235D7"/>
    <w:rsid w:val="009251FD"/>
    <w:rsid w:val="00934000"/>
    <w:rsid w:val="00934A33"/>
    <w:rsid w:val="00936CB4"/>
    <w:rsid w:val="00937555"/>
    <w:rsid w:val="009375F9"/>
    <w:rsid w:val="00940214"/>
    <w:rsid w:val="00943F87"/>
    <w:rsid w:val="009551AD"/>
    <w:rsid w:val="00957112"/>
    <w:rsid w:val="00971E86"/>
    <w:rsid w:val="009779A5"/>
    <w:rsid w:val="00980AAF"/>
    <w:rsid w:val="009854A4"/>
    <w:rsid w:val="00986EE1"/>
    <w:rsid w:val="00991681"/>
    <w:rsid w:val="009936D6"/>
    <w:rsid w:val="009941F3"/>
    <w:rsid w:val="0099686F"/>
    <w:rsid w:val="009A1132"/>
    <w:rsid w:val="009A2877"/>
    <w:rsid w:val="009A6475"/>
    <w:rsid w:val="009A65D9"/>
    <w:rsid w:val="009B3296"/>
    <w:rsid w:val="009B4766"/>
    <w:rsid w:val="009B5FD6"/>
    <w:rsid w:val="009B707A"/>
    <w:rsid w:val="009B7204"/>
    <w:rsid w:val="009C1645"/>
    <w:rsid w:val="009C1F19"/>
    <w:rsid w:val="009C41AF"/>
    <w:rsid w:val="009C534A"/>
    <w:rsid w:val="009C68C7"/>
    <w:rsid w:val="009D5E13"/>
    <w:rsid w:val="009D783B"/>
    <w:rsid w:val="009E57A1"/>
    <w:rsid w:val="009F2020"/>
    <w:rsid w:val="009F448E"/>
    <w:rsid w:val="00A005E4"/>
    <w:rsid w:val="00A030A7"/>
    <w:rsid w:val="00A10571"/>
    <w:rsid w:val="00A12EAB"/>
    <w:rsid w:val="00A150B6"/>
    <w:rsid w:val="00A2018C"/>
    <w:rsid w:val="00A22B8E"/>
    <w:rsid w:val="00A245A5"/>
    <w:rsid w:val="00A25F5A"/>
    <w:rsid w:val="00A3148A"/>
    <w:rsid w:val="00A37E4C"/>
    <w:rsid w:val="00A4485B"/>
    <w:rsid w:val="00A472CF"/>
    <w:rsid w:val="00A51549"/>
    <w:rsid w:val="00A5448B"/>
    <w:rsid w:val="00A57458"/>
    <w:rsid w:val="00A61725"/>
    <w:rsid w:val="00A625DD"/>
    <w:rsid w:val="00A7012D"/>
    <w:rsid w:val="00A7265B"/>
    <w:rsid w:val="00A73AB3"/>
    <w:rsid w:val="00A847BD"/>
    <w:rsid w:val="00A864C2"/>
    <w:rsid w:val="00A91882"/>
    <w:rsid w:val="00A93F56"/>
    <w:rsid w:val="00AA257A"/>
    <w:rsid w:val="00AA46D6"/>
    <w:rsid w:val="00AC06E5"/>
    <w:rsid w:val="00AC0CF3"/>
    <w:rsid w:val="00AC1B44"/>
    <w:rsid w:val="00AD5061"/>
    <w:rsid w:val="00AD52F3"/>
    <w:rsid w:val="00AD7CD9"/>
    <w:rsid w:val="00AD7FB0"/>
    <w:rsid w:val="00AE0325"/>
    <w:rsid w:val="00AF235E"/>
    <w:rsid w:val="00B0218D"/>
    <w:rsid w:val="00B0630B"/>
    <w:rsid w:val="00B07134"/>
    <w:rsid w:val="00B1044B"/>
    <w:rsid w:val="00B21EF2"/>
    <w:rsid w:val="00B32339"/>
    <w:rsid w:val="00B402FD"/>
    <w:rsid w:val="00B42199"/>
    <w:rsid w:val="00B4560B"/>
    <w:rsid w:val="00B466FD"/>
    <w:rsid w:val="00B50BC7"/>
    <w:rsid w:val="00B624F8"/>
    <w:rsid w:val="00B63FF3"/>
    <w:rsid w:val="00B6498F"/>
    <w:rsid w:val="00B84D12"/>
    <w:rsid w:val="00B86289"/>
    <w:rsid w:val="00B927DA"/>
    <w:rsid w:val="00B9492B"/>
    <w:rsid w:val="00B952AD"/>
    <w:rsid w:val="00B95798"/>
    <w:rsid w:val="00BA1B83"/>
    <w:rsid w:val="00BA1BD2"/>
    <w:rsid w:val="00BA7B81"/>
    <w:rsid w:val="00BB0613"/>
    <w:rsid w:val="00BB41B2"/>
    <w:rsid w:val="00BB4A16"/>
    <w:rsid w:val="00BB64A2"/>
    <w:rsid w:val="00BB7A02"/>
    <w:rsid w:val="00BC084C"/>
    <w:rsid w:val="00BC292F"/>
    <w:rsid w:val="00BC4DC8"/>
    <w:rsid w:val="00BC5A7A"/>
    <w:rsid w:val="00BD18CA"/>
    <w:rsid w:val="00BD5DE9"/>
    <w:rsid w:val="00BE18AA"/>
    <w:rsid w:val="00BE742B"/>
    <w:rsid w:val="00C20D33"/>
    <w:rsid w:val="00C20D6F"/>
    <w:rsid w:val="00C2101A"/>
    <w:rsid w:val="00C35874"/>
    <w:rsid w:val="00C35C36"/>
    <w:rsid w:val="00C3729F"/>
    <w:rsid w:val="00C4218D"/>
    <w:rsid w:val="00C4371B"/>
    <w:rsid w:val="00C5743B"/>
    <w:rsid w:val="00C6178F"/>
    <w:rsid w:val="00C61B17"/>
    <w:rsid w:val="00C65C91"/>
    <w:rsid w:val="00C6625D"/>
    <w:rsid w:val="00C71477"/>
    <w:rsid w:val="00C7284D"/>
    <w:rsid w:val="00C81A2C"/>
    <w:rsid w:val="00C8356C"/>
    <w:rsid w:val="00C855C9"/>
    <w:rsid w:val="00C919AD"/>
    <w:rsid w:val="00C96AEE"/>
    <w:rsid w:val="00CA0E7C"/>
    <w:rsid w:val="00CA39D5"/>
    <w:rsid w:val="00CB2811"/>
    <w:rsid w:val="00CB7E01"/>
    <w:rsid w:val="00CD1A9A"/>
    <w:rsid w:val="00CE3D24"/>
    <w:rsid w:val="00CE6AB6"/>
    <w:rsid w:val="00CE7600"/>
    <w:rsid w:val="00CF1116"/>
    <w:rsid w:val="00CF140F"/>
    <w:rsid w:val="00CF5126"/>
    <w:rsid w:val="00CF6C65"/>
    <w:rsid w:val="00D01F47"/>
    <w:rsid w:val="00D03500"/>
    <w:rsid w:val="00D036C4"/>
    <w:rsid w:val="00D05F06"/>
    <w:rsid w:val="00D16C9E"/>
    <w:rsid w:val="00D17965"/>
    <w:rsid w:val="00D24738"/>
    <w:rsid w:val="00D36C0C"/>
    <w:rsid w:val="00D37A72"/>
    <w:rsid w:val="00D43E74"/>
    <w:rsid w:val="00D452B7"/>
    <w:rsid w:val="00D452D8"/>
    <w:rsid w:val="00D54BE5"/>
    <w:rsid w:val="00D55162"/>
    <w:rsid w:val="00D608A3"/>
    <w:rsid w:val="00D65BFF"/>
    <w:rsid w:val="00D67D3B"/>
    <w:rsid w:val="00D70AE1"/>
    <w:rsid w:val="00D730B3"/>
    <w:rsid w:val="00D75590"/>
    <w:rsid w:val="00D77278"/>
    <w:rsid w:val="00D924B6"/>
    <w:rsid w:val="00D94F96"/>
    <w:rsid w:val="00DA0402"/>
    <w:rsid w:val="00DA5BA1"/>
    <w:rsid w:val="00DB2862"/>
    <w:rsid w:val="00DB7E5F"/>
    <w:rsid w:val="00DC2E78"/>
    <w:rsid w:val="00DC68A3"/>
    <w:rsid w:val="00DC7166"/>
    <w:rsid w:val="00DC7D49"/>
    <w:rsid w:val="00DD204C"/>
    <w:rsid w:val="00DE2969"/>
    <w:rsid w:val="00DF1E20"/>
    <w:rsid w:val="00DF3952"/>
    <w:rsid w:val="00DF3DA7"/>
    <w:rsid w:val="00E04022"/>
    <w:rsid w:val="00E104A9"/>
    <w:rsid w:val="00E145CC"/>
    <w:rsid w:val="00E1474C"/>
    <w:rsid w:val="00E20E3A"/>
    <w:rsid w:val="00E31494"/>
    <w:rsid w:val="00E31E90"/>
    <w:rsid w:val="00E33470"/>
    <w:rsid w:val="00E36C5B"/>
    <w:rsid w:val="00E37E62"/>
    <w:rsid w:val="00E446F8"/>
    <w:rsid w:val="00E62E05"/>
    <w:rsid w:val="00E65DA1"/>
    <w:rsid w:val="00E66B26"/>
    <w:rsid w:val="00E716D9"/>
    <w:rsid w:val="00E7172F"/>
    <w:rsid w:val="00E85C5C"/>
    <w:rsid w:val="00EA4F4B"/>
    <w:rsid w:val="00EB5DC9"/>
    <w:rsid w:val="00EB714C"/>
    <w:rsid w:val="00EB7F1E"/>
    <w:rsid w:val="00EC1CAC"/>
    <w:rsid w:val="00EC570A"/>
    <w:rsid w:val="00ED07CA"/>
    <w:rsid w:val="00ED76BD"/>
    <w:rsid w:val="00EE1215"/>
    <w:rsid w:val="00EE247E"/>
    <w:rsid w:val="00EE375C"/>
    <w:rsid w:val="00EE3A17"/>
    <w:rsid w:val="00EE42E7"/>
    <w:rsid w:val="00EE4CCD"/>
    <w:rsid w:val="00EE76CD"/>
    <w:rsid w:val="00EF0266"/>
    <w:rsid w:val="00EF5E2D"/>
    <w:rsid w:val="00F03311"/>
    <w:rsid w:val="00F155E5"/>
    <w:rsid w:val="00F15E39"/>
    <w:rsid w:val="00F2177D"/>
    <w:rsid w:val="00F23139"/>
    <w:rsid w:val="00F24800"/>
    <w:rsid w:val="00F313D5"/>
    <w:rsid w:val="00F336EB"/>
    <w:rsid w:val="00F36B79"/>
    <w:rsid w:val="00F41B31"/>
    <w:rsid w:val="00F42A16"/>
    <w:rsid w:val="00F4579A"/>
    <w:rsid w:val="00F53A33"/>
    <w:rsid w:val="00F62A36"/>
    <w:rsid w:val="00F846AB"/>
    <w:rsid w:val="00FA52D1"/>
    <w:rsid w:val="00FB0B88"/>
    <w:rsid w:val="00FC70DC"/>
    <w:rsid w:val="00FD1667"/>
    <w:rsid w:val="00FD3F9B"/>
    <w:rsid w:val="00FD5250"/>
    <w:rsid w:val="00FD5924"/>
    <w:rsid w:val="00FD6F93"/>
    <w:rsid w:val="00FE3587"/>
    <w:rsid w:val="00FE58F2"/>
    <w:rsid w:val="00FF0D30"/>
    <w:rsid w:val="00FF3338"/>
    <w:rsid w:val="00FF3B0C"/>
    <w:rsid w:val="00FF70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3CEF38"/>
  <w15:chartTrackingRefBased/>
  <w15:docId w15:val="{4ED04F45-EB2B-460D-A5FF-5C015BA6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3CF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13CF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13CF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13CF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13CF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13C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3C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3C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3C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3CF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13CF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13CF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13CF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13CF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13C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3C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3C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3CFE"/>
    <w:rPr>
      <w:rFonts w:eastAsiaTheme="majorEastAsia" w:cstheme="majorBidi"/>
      <w:color w:val="272727" w:themeColor="text1" w:themeTint="D8"/>
    </w:rPr>
  </w:style>
  <w:style w:type="paragraph" w:styleId="Title">
    <w:name w:val="Title"/>
    <w:basedOn w:val="Normal"/>
    <w:next w:val="Normal"/>
    <w:link w:val="TitleChar"/>
    <w:uiPriority w:val="10"/>
    <w:qFormat/>
    <w:rsid w:val="00213C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3C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3C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3C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3CFE"/>
    <w:pPr>
      <w:spacing w:before="160"/>
      <w:jc w:val="center"/>
    </w:pPr>
    <w:rPr>
      <w:i/>
      <w:iCs/>
      <w:color w:val="404040" w:themeColor="text1" w:themeTint="BF"/>
    </w:rPr>
  </w:style>
  <w:style w:type="character" w:customStyle="1" w:styleId="QuoteChar">
    <w:name w:val="Quote Char"/>
    <w:basedOn w:val="DefaultParagraphFont"/>
    <w:link w:val="Quote"/>
    <w:uiPriority w:val="29"/>
    <w:rsid w:val="00213CFE"/>
    <w:rPr>
      <w:i/>
      <w:iCs/>
      <w:color w:val="404040" w:themeColor="text1" w:themeTint="BF"/>
    </w:rPr>
  </w:style>
  <w:style w:type="paragraph" w:styleId="ListParagraph">
    <w:name w:val="List Paragraph"/>
    <w:basedOn w:val="Normal"/>
    <w:uiPriority w:val="34"/>
    <w:qFormat/>
    <w:rsid w:val="00213CFE"/>
    <w:pPr>
      <w:ind w:left="720"/>
      <w:contextualSpacing/>
    </w:pPr>
  </w:style>
  <w:style w:type="character" w:styleId="IntenseEmphasis">
    <w:name w:val="Intense Emphasis"/>
    <w:basedOn w:val="DefaultParagraphFont"/>
    <w:uiPriority w:val="21"/>
    <w:qFormat/>
    <w:rsid w:val="00213CFE"/>
    <w:rPr>
      <w:i/>
      <w:iCs/>
      <w:color w:val="2F5496" w:themeColor="accent1" w:themeShade="BF"/>
    </w:rPr>
  </w:style>
  <w:style w:type="paragraph" w:styleId="IntenseQuote">
    <w:name w:val="Intense Quote"/>
    <w:basedOn w:val="Normal"/>
    <w:next w:val="Normal"/>
    <w:link w:val="IntenseQuoteChar"/>
    <w:uiPriority w:val="30"/>
    <w:qFormat/>
    <w:rsid w:val="00213C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13CFE"/>
    <w:rPr>
      <w:i/>
      <w:iCs/>
      <w:color w:val="2F5496" w:themeColor="accent1" w:themeShade="BF"/>
    </w:rPr>
  </w:style>
  <w:style w:type="character" w:styleId="IntenseReference">
    <w:name w:val="Intense Reference"/>
    <w:basedOn w:val="DefaultParagraphFont"/>
    <w:uiPriority w:val="32"/>
    <w:qFormat/>
    <w:rsid w:val="00213CFE"/>
    <w:rPr>
      <w:b/>
      <w:bCs/>
      <w:smallCaps/>
      <w:color w:val="2F5496" w:themeColor="accent1" w:themeShade="BF"/>
      <w:spacing w:val="5"/>
    </w:rPr>
  </w:style>
  <w:style w:type="character" w:styleId="Hyperlink">
    <w:name w:val="Hyperlink"/>
    <w:basedOn w:val="DefaultParagraphFont"/>
    <w:uiPriority w:val="99"/>
    <w:unhideWhenUsed/>
    <w:rsid w:val="00C5743B"/>
    <w:rPr>
      <w:color w:val="0563C1" w:themeColor="hyperlink"/>
      <w:u w:val="single"/>
    </w:rPr>
  </w:style>
  <w:style w:type="character" w:styleId="UnresolvedMention">
    <w:name w:val="Unresolved Mention"/>
    <w:basedOn w:val="DefaultParagraphFont"/>
    <w:uiPriority w:val="99"/>
    <w:semiHidden/>
    <w:unhideWhenUsed/>
    <w:rsid w:val="00C5743B"/>
    <w:rPr>
      <w:color w:val="605E5C"/>
      <w:shd w:val="clear" w:color="auto" w:fill="E1DFDD"/>
    </w:rPr>
  </w:style>
  <w:style w:type="paragraph" w:styleId="Header">
    <w:name w:val="header"/>
    <w:basedOn w:val="Normal"/>
    <w:link w:val="HeaderChar"/>
    <w:uiPriority w:val="99"/>
    <w:unhideWhenUsed/>
    <w:rsid w:val="002B1C00"/>
    <w:pPr>
      <w:tabs>
        <w:tab w:val="center" w:pos="4153"/>
        <w:tab w:val="right" w:pos="8306"/>
      </w:tabs>
      <w:spacing w:after="0" w:line="240" w:lineRule="auto"/>
    </w:pPr>
  </w:style>
  <w:style w:type="character" w:customStyle="1" w:styleId="HeaderChar">
    <w:name w:val="Header Char"/>
    <w:basedOn w:val="DefaultParagraphFont"/>
    <w:link w:val="Header"/>
    <w:uiPriority w:val="99"/>
    <w:rsid w:val="002B1C00"/>
  </w:style>
  <w:style w:type="paragraph" w:styleId="Footer">
    <w:name w:val="footer"/>
    <w:basedOn w:val="Normal"/>
    <w:link w:val="FooterChar"/>
    <w:uiPriority w:val="99"/>
    <w:unhideWhenUsed/>
    <w:rsid w:val="002B1C00"/>
    <w:pPr>
      <w:tabs>
        <w:tab w:val="center" w:pos="4153"/>
        <w:tab w:val="right" w:pos="8306"/>
      </w:tabs>
      <w:spacing w:after="0" w:line="240" w:lineRule="auto"/>
    </w:pPr>
  </w:style>
  <w:style w:type="character" w:customStyle="1" w:styleId="FooterChar">
    <w:name w:val="Footer Char"/>
    <w:basedOn w:val="DefaultParagraphFont"/>
    <w:link w:val="Footer"/>
    <w:uiPriority w:val="99"/>
    <w:rsid w:val="002B1C00"/>
  </w:style>
  <w:style w:type="character" w:styleId="CommentReference">
    <w:name w:val="annotation reference"/>
    <w:basedOn w:val="DefaultParagraphFont"/>
    <w:uiPriority w:val="99"/>
    <w:semiHidden/>
    <w:unhideWhenUsed/>
    <w:rsid w:val="005975A3"/>
    <w:rPr>
      <w:sz w:val="16"/>
      <w:szCs w:val="16"/>
    </w:rPr>
  </w:style>
  <w:style w:type="paragraph" w:styleId="CommentText">
    <w:name w:val="annotation text"/>
    <w:basedOn w:val="Normal"/>
    <w:link w:val="CommentTextChar"/>
    <w:uiPriority w:val="99"/>
    <w:unhideWhenUsed/>
    <w:rsid w:val="006C50AD"/>
    <w:pPr>
      <w:spacing w:line="240" w:lineRule="auto"/>
    </w:pPr>
    <w:rPr>
      <w:kern w:val="0"/>
      <w:sz w:val="20"/>
      <w:szCs w:val="20"/>
      <w:lang w:val="en-US"/>
      <w14:ligatures w14:val="none"/>
    </w:rPr>
  </w:style>
  <w:style w:type="character" w:customStyle="1" w:styleId="CommentTextChar">
    <w:name w:val="Comment Text Char"/>
    <w:basedOn w:val="DefaultParagraphFont"/>
    <w:link w:val="CommentText"/>
    <w:uiPriority w:val="99"/>
    <w:rsid w:val="006C50AD"/>
    <w:rPr>
      <w:kern w:val="0"/>
      <w:sz w:val="20"/>
      <w:szCs w:val="20"/>
      <w:lang w:val="en-US"/>
      <w14:ligatures w14:val="none"/>
    </w:rPr>
  </w:style>
  <w:style w:type="paragraph" w:customStyle="1" w:styleId="EndNoteBibliographyTitle">
    <w:name w:val="EndNote Bibliography Title"/>
    <w:basedOn w:val="Normal"/>
    <w:link w:val="EndNoteBibliographyTitleChar"/>
    <w:rsid w:val="005E458E"/>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5E458E"/>
    <w:rPr>
      <w:rFonts w:ascii="Calibri" w:hAnsi="Calibri" w:cs="Calibri"/>
      <w:noProof/>
    </w:rPr>
  </w:style>
  <w:style w:type="paragraph" w:customStyle="1" w:styleId="EndNoteBibliography">
    <w:name w:val="EndNote Bibliography"/>
    <w:basedOn w:val="Normal"/>
    <w:link w:val="EndNoteBibliographyChar"/>
    <w:rsid w:val="005E458E"/>
    <w:pPr>
      <w:spacing w:line="240" w:lineRule="auto"/>
      <w:jc w:val="both"/>
    </w:pPr>
    <w:rPr>
      <w:rFonts w:ascii="Calibri" w:hAnsi="Calibri" w:cs="Calibri"/>
      <w:noProof/>
    </w:rPr>
  </w:style>
  <w:style w:type="character" w:customStyle="1" w:styleId="EndNoteBibliographyChar">
    <w:name w:val="EndNote Bibliography Char"/>
    <w:basedOn w:val="DefaultParagraphFont"/>
    <w:link w:val="EndNoteBibliography"/>
    <w:rsid w:val="005E458E"/>
    <w:rPr>
      <w:rFonts w:ascii="Calibri" w:hAnsi="Calibri" w:cs="Calibri"/>
      <w:noProof/>
    </w:rPr>
  </w:style>
  <w:style w:type="paragraph" w:styleId="Revision">
    <w:name w:val="Revision"/>
    <w:hidden/>
    <w:uiPriority w:val="99"/>
    <w:semiHidden/>
    <w:rsid w:val="00664EBC"/>
    <w:pPr>
      <w:spacing w:after="0" w:line="240" w:lineRule="auto"/>
    </w:pPr>
  </w:style>
  <w:style w:type="paragraph" w:styleId="CommentSubject">
    <w:name w:val="annotation subject"/>
    <w:basedOn w:val="CommentText"/>
    <w:next w:val="CommentText"/>
    <w:link w:val="CommentSubjectChar"/>
    <w:uiPriority w:val="99"/>
    <w:semiHidden/>
    <w:unhideWhenUsed/>
    <w:rsid w:val="009C1645"/>
    <w:rPr>
      <w:b/>
      <w:bCs/>
      <w:kern w:val="2"/>
      <w:lang w:val="en-GB"/>
      <w14:ligatures w14:val="standardContextual"/>
    </w:rPr>
  </w:style>
  <w:style w:type="character" w:customStyle="1" w:styleId="CommentSubjectChar">
    <w:name w:val="Comment Subject Char"/>
    <w:basedOn w:val="CommentTextChar"/>
    <w:link w:val="CommentSubject"/>
    <w:uiPriority w:val="99"/>
    <w:semiHidden/>
    <w:rsid w:val="009C1645"/>
    <w:rPr>
      <w:b/>
      <w:bCs/>
      <w:kern w:val="0"/>
      <w:sz w:val="20"/>
      <w:szCs w:val="20"/>
      <w:lang w:val="en-US"/>
      <w14:ligatures w14:val="none"/>
    </w:rPr>
  </w:style>
  <w:style w:type="paragraph" w:styleId="NormalWeb">
    <w:name w:val="Normal (Web)"/>
    <w:basedOn w:val="Normal"/>
    <w:uiPriority w:val="99"/>
    <w:semiHidden/>
    <w:unhideWhenUsed/>
    <w:rsid w:val="003554BE"/>
    <w:pPr>
      <w:spacing w:before="100" w:beforeAutospacing="1" w:after="100" w:afterAutospacing="1" w:line="240" w:lineRule="auto"/>
    </w:pPr>
    <w:rPr>
      <w:rFonts w:ascii="Times New Roman" w:eastAsia="Times New Roman" w:hAnsi="Times New Roman" w:cs="Times New Roman"/>
      <w:kern w:val="0"/>
      <w:lang w:val="en-H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041994">
      <w:bodyDiv w:val="1"/>
      <w:marLeft w:val="0"/>
      <w:marRight w:val="0"/>
      <w:marTop w:val="0"/>
      <w:marBottom w:val="0"/>
      <w:divBdr>
        <w:top w:val="none" w:sz="0" w:space="0" w:color="auto"/>
        <w:left w:val="none" w:sz="0" w:space="0" w:color="auto"/>
        <w:bottom w:val="none" w:sz="0" w:space="0" w:color="auto"/>
        <w:right w:val="none" w:sz="0" w:space="0" w:color="auto"/>
      </w:divBdr>
    </w:div>
    <w:div w:id="590549185">
      <w:bodyDiv w:val="1"/>
      <w:marLeft w:val="0"/>
      <w:marRight w:val="0"/>
      <w:marTop w:val="0"/>
      <w:marBottom w:val="0"/>
      <w:divBdr>
        <w:top w:val="none" w:sz="0" w:space="0" w:color="auto"/>
        <w:left w:val="none" w:sz="0" w:space="0" w:color="auto"/>
        <w:bottom w:val="none" w:sz="0" w:space="0" w:color="auto"/>
        <w:right w:val="none" w:sz="0" w:space="0" w:color="auto"/>
      </w:divBdr>
    </w:div>
    <w:div w:id="1272783918">
      <w:bodyDiv w:val="1"/>
      <w:marLeft w:val="0"/>
      <w:marRight w:val="0"/>
      <w:marTop w:val="0"/>
      <w:marBottom w:val="0"/>
      <w:divBdr>
        <w:top w:val="none" w:sz="0" w:space="0" w:color="auto"/>
        <w:left w:val="none" w:sz="0" w:space="0" w:color="auto"/>
        <w:bottom w:val="none" w:sz="0" w:space="0" w:color="auto"/>
        <w:right w:val="none" w:sz="0" w:space="0" w:color="auto"/>
      </w:divBdr>
    </w:div>
    <w:div w:id="200246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up.com.hk/marketing/FIRST_magazine-Foresight_Innovation_Research_Shaing_Training/Issue%2010/First-10.pdf" TargetMode="External"/><Relationship Id="rId3" Type="http://schemas.openxmlformats.org/officeDocument/2006/relationships/settings" Target="settings.xml"/><Relationship Id="rId7" Type="http://schemas.openxmlformats.org/officeDocument/2006/relationships/hyperlink" Target="https://www.mtracademy.com/mtr_data/course/CPD_Series_TOD_leaflet_Final3366202178101363655915.pd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A7D64-A73D-4CFA-8D93-8D16BEF77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20</Pages>
  <Words>7950</Words>
  <Characters>45317</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hedsh3@connect.hku.hk</dc:creator>
  <cp:keywords/>
  <dc:description/>
  <cp:lastModifiedBy>hedsh3@connect.hku.hk</cp:lastModifiedBy>
  <cp:revision>30</cp:revision>
  <dcterms:created xsi:type="dcterms:W3CDTF">2025-10-13T06:21:00Z</dcterms:created>
  <dcterms:modified xsi:type="dcterms:W3CDTF">2025-10-16T15:30:00Z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a94881ac-cfd3-460d-ad0c-548c6b6c0744</vt:lpwstr>
  </property>
</Properties>
</file>